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val="0"/>
        <w:snapToGrid w:val="0"/>
        <w:spacing w:line="600" w:lineRule="exact"/>
        <w:jc w:val="left"/>
        <w:textAlignment w:val="auto"/>
        <w:rPr>
          <w:rFonts w:hint="eastAsia" w:ascii="仿宋_GB2312" w:hAnsi="仿宋_GB2312" w:eastAsia="仿宋_GB2312" w:cs="仿宋_GB2312"/>
          <w:color w:val="auto"/>
          <w:sz w:val="32"/>
          <w:szCs w:val="32"/>
        </w:rPr>
      </w:pPr>
      <w:bookmarkStart w:id="0" w:name="_GoBack"/>
      <w:bookmarkEnd w:id="0"/>
      <w:r>
        <w:rPr>
          <w:rFonts w:hint="eastAsia" w:ascii="黑体" w:hAnsi="黑体" w:eastAsia="黑体" w:cs="黑体"/>
          <w:color w:val="auto"/>
          <w:sz w:val="32"/>
          <w:szCs w:val="32"/>
        </w:rPr>
        <w:t>附件2</w:t>
      </w:r>
    </w:p>
    <w:p>
      <w:pPr>
        <w:keepNext w:val="0"/>
        <w:keepLines w:val="0"/>
        <w:pageBreakBefore w:val="0"/>
        <w:widowControl w:val="0"/>
        <w:kinsoku/>
        <w:wordWrap/>
        <w:overflowPunct/>
        <w:topLinePunct w:val="0"/>
        <w:autoSpaceDE/>
        <w:autoSpaceDN/>
        <w:bidi w:val="0"/>
        <w:adjustRightInd w:val="0"/>
        <w:snapToGrid w:val="0"/>
        <w:spacing w:line="600" w:lineRule="exact"/>
        <w:jc w:val="center"/>
        <w:textAlignment w:val="auto"/>
        <w:rPr>
          <w:rFonts w:hint="eastAsia" w:ascii="方正小标宋简体" w:hAnsi="方正小标宋简体" w:eastAsia="方正小标宋简体" w:cs="方正小标宋简体"/>
          <w:color w:val="auto"/>
          <w:sz w:val="44"/>
          <w:szCs w:val="44"/>
        </w:rPr>
      </w:pPr>
      <w:r>
        <w:rPr>
          <w:rFonts w:hint="eastAsia" w:ascii="方正小标宋简体" w:hAnsi="方正小标宋简体" w:eastAsia="方正小标宋简体" w:cs="方正小标宋简体"/>
          <w:color w:val="auto"/>
          <w:sz w:val="44"/>
          <w:szCs w:val="44"/>
        </w:rPr>
        <w:t>滕州市国家慢性</w:t>
      </w:r>
      <w:r>
        <w:rPr>
          <w:rFonts w:hint="eastAsia" w:ascii="方正小标宋简体" w:hAnsi="方正小标宋简体" w:eastAsia="方正小标宋简体" w:cs="方正小标宋简体"/>
          <w:color w:val="auto"/>
          <w:sz w:val="44"/>
          <w:szCs w:val="44"/>
          <w:lang w:eastAsia="zh-CN"/>
        </w:rPr>
        <w:t>非传染性疾</w:t>
      </w:r>
      <w:r>
        <w:rPr>
          <w:rFonts w:hint="eastAsia" w:ascii="方正小标宋简体" w:hAnsi="方正小标宋简体" w:eastAsia="方正小标宋简体" w:cs="方正小标宋简体"/>
          <w:color w:val="auto"/>
          <w:sz w:val="44"/>
          <w:szCs w:val="44"/>
        </w:rPr>
        <w:t>病综合防控示范区常态化管理</w:t>
      </w:r>
    </w:p>
    <w:p>
      <w:pPr>
        <w:keepNext w:val="0"/>
        <w:keepLines w:val="0"/>
        <w:pageBreakBefore w:val="0"/>
        <w:widowControl w:val="0"/>
        <w:kinsoku/>
        <w:wordWrap/>
        <w:overflowPunct/>
        <w:topLinePunct w:val="0"/>
        <w:autoSpaceDE/>
        <w:autoSpaceDN/>
        <w:bidi w:val="0"/>
        <w:adjustRightInd w:val="0"/>
        <w:snapToGrid w:val="0"/>
        <w:spacing w:after="161" w:afterLines="50" w:line="600" w:lineRule="exact"/>
        <w:jc w:val="center"/>
        <w:textAlignment w:val="auto"/>
        <w:rPr>
          <w:rFonts w:ascii="仿宋" w:hAnsi="仿宋" w:eastAsia="仿宋"/>
          <w:color w:val="auto"/>
          <w:sz w:val="32"/>
          <w:szCs w:val="32"/>
        </w:rPr>
      </w:pPr>
      <w:r>
        <w:rPr>
          <w:rFonts w:hint="eastAsia" w:ascii="方正小标宋简体" w:hAnsi="方正小标宋简体" w:eastAsia="方正小标宋简体" w:cs="方正小标宋简体"/>
          <w:color w:val="auto"/>
          <w:sz w:val="44"/>
          <w:szCs w:val="44"/>
        </w:rPr>
        <w:t>暨迎接示范区复审工作任务责任分解表</w:t>
      </w:r>
    </w:p>
    <w:tbl>
      <w:tblPr>
        <w:tblStyle w:val="3"/>
        <w:tblW w:w="14773" w:type="dxa"/>
        <w:tblInd w:w="-323" w:type="dxa"/>
        <w:tblLayout w:type="fixed"/>
        <w:tblCellMar>
          <w:top w:w="0" w:type="dxa"/>
          <w:left w:w="0" w:type="dxa"/>
          <w:bottom w:w="0" w:type="dxa"/>
          <w:right w:w="0" w:type="dxa"/>
        </w:tblCellMar>
      </w:tblPr>
      <w:tblGrid>
        <w:gridCol w:w="5"/>
        <w:gridCol w:w="905"/>
        <w:gridCol w:w="1366"/>
        <w:gridCol w:w="5"/>
        <w:gridCol w:w="2157"/>
        <w:gridCol w:w="3075"/>
        <w:gridCol w:w="1230"/>
        <w:gridCol w:w="3960"/>
        <w:gridCol w:w="88"/>
        <w:gridCol w:w="1935"/>
        <w:gridCol w:w="17"/>
        <w:gridCol w:w="15"/>
        <w:gridCol w:w="2"/>
        <w:gridCol w:w="13"/>
      </w:tblGrid>
      <w:tr>
        <w:tblPrEx>
          <w:tblCellMar>
            <w:top w:w="0" w:type="dxa"/>
            <w:left w:w="0" w:type="dxa"/>
            <w:bottom w:w="0" w:type="dxa"/>
            <w:right w:w="0" w:type="dxa"/>
          </w:tblCellMar>
        </w:tblPrEx>
        <w:trPr>
          <w:gridAfter w:val="1"/>
          <w:wAfter w:w="13" w:type="dxa"/>
          <w:trHeight w:val="499" w:hRule="atLeast"/>
          <w:tblHeader/>
        </w:trPr>
        <w:tc>
          <w:tcPr>
            <w:tcW w:w="910"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项目</w:t>
            </w: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内容</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指标要求</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赋分标准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责任单位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rPr>
            </w:pPr>
            <w:r>
              <w:rPr>
                <w:rFonts w:hint="eastAsia" w:ascii="黑体" w:hAnsi="黑体" w:eastAsia="黑体" w:cs="黑体"/>
                <w:b w:val="0"/>
                <w:bCs w:val="0"/>
                <w:color w:val="auto"/>
                <w:sz w:val="24"/>
              </w:rPr>
              <w:t>需提交资料</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评价办法</w:t>
            </w:r>
          </w:p>
        </w:tc>
      </w:tr>
      <w:tr>
        <w:tblPrEx>
          <w:tblCellMar>
            <w:top w:w="0" w:type="dxa"/>
            <w:left w:w="0" w:type="dxa"/>
            <w:bottom w:w="0" w:type="dxa"/>
            <w:right w:w="0" w:type="dxa"/>
          </w:tblCellMar>
        </w:tblPrEx>
        <w:trPr>
          <w:gridAfter w:val="1"/>
          <w:wAfter w:w="13" w:type="dxa"/>
          <w:trHeight w:val="91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lang w:eastAsia="zh-CN"/>
              </w:rPr>
            </w:pPr>
            <w:r>
              <w:rPr>
                <w:rFonts w:hint="eastAsia" w:ascii="黑体" w:hAnsi="黑体" w:eastAsia="黑体" w:cs="黑体"/>
                <w:b w:val="0"/>
                <w:bCs w:val="0"/>
                <w:color w:val="auto"/>
                <w:sz w:val="24"/>
                <w:szCs w:val="24"/>
                <w:lang w:eastAsia="zh-CN"/>
              </w:rPr>
              <w:t>一、</w:t>
            </w:r>
            <w:r>
              <w:rPr>
                <w:rFonts w:hint="eastAsia" w:ascii="黑体" w:hAnsi="黑体" w:eastAsia="黑体" w:cs="黑体"/>
                <w:b w:val="0"/>
                <w:bCs w:val="0"/>
                <w:color w:val="auto"/>
                <w:sz w:val="24"/>
                <w:szCs w:val="24"/>
              </w:rPr>
              <w:t>政策完善</w:t>
            </w:r>
            <w:r>
              <w:rPr>
                <w:rFonts w:hint="eastAsia" w:ascii="黑体" w:hAnsi="黑体" w:eastAsia="黑体" w:cs="黑体"/>
                <w:b w:val="0"/>
                <w:bCs w:val="0"/>
                <w:color w:val="auto"/>
                <w:sz w:val="24"/>
                <w:szCs w:val="24"/>
                <w:lang w:eastAsia="zh-CN"/>
              </w:rPr>
              <w:t>（</w:t>
            </w:r>
            <w:r>
              <w:rPr>
                <w:rFonts w:hint="eastAsia" w:ascii="黑体" w:hAnsi="黑体" w:eastAsia="黑体" w:cs="黑体"/>
                <w:b w:val="0"/>
                <w:bCs w:val="0"/>
                <w:color w:val="auto"/>
                <w:sz w:val="24"/>
                <w:szCs w:val="24"/>
                <w:lang w:val="en-US" w:eastAsia="zh-CN"/>
              </w:rPr>
              <w:t>45分</w:t>
            </w:r>
            <w:r>
              <w:rPr>
                <w:rFonts w:hint="eastAsia" w:ascii="黑体" w:hAnsi="黑体" w:eastAsia="黑体" w:cs="黑体"/>
                <w:b w:val="0"/>
                <w:bCs w:val="0"/>
                <w:color w:val="auto"/>
                <w:sz w:val="24"/>
                <w:szCs w:val="24"/>
                <w:lang w:eastAsia="zh-CN"/>
              </w:rPr>
              <w:t>）</w:t>
            </w: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（一）发挥政府主导作用，建立多部门协作联动机制。（25分）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1.辖区政府成立示范区建设领导小组，明确部门职责，建立完善的信息反馈沟通制度。（10分）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（1）成立辖区示范区建设领导小组，政府主要领导任组长，明确部门职责，4分。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政府文件，成立领导小组，成员覆盖各相关部门，部门职责分工明确；责任书签订。</w:t>
            </w:r>
          </w:p>
        </w:tc>
        <w:tc>
          <w:tcPr>
            <w:tcW w:w="2057" w:type="dxa"/>
            <w:gridSpan w:val="5"/>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查阅资料、会议记录、现场询问。</w:t>
            </w:r>
          </w:p>
        </w:tc>
      </w:tr>
      <w:tr>
        <w:tblPrEx>
          <w:tblCellMar>
            <w:top w:w="0" w:type="dxa"/>
            <w:left w:w="0" w:type="dxa"/>
            <w:bottom w:w="0" w:type="dxa"/>
            <w:right w:w="0" w:type="dxa"/>
          </w:tblCellMar>
        </w:tblPrEx>
        <w:trPr>
          <w:gridAfter w:val="1"/>
          <w:wAfter w:w="13" w:type="dxa"/>
          <w:trHeight w:val="5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（2）设立示范区建设工作办公室，2分。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政府成立创建办文件。（牌子、实施方案）</w:t>
            </w:r>
          </w:p>
        </w:tc>
        <w:tc>
          <w:tcPr>
            <w:tcW w:w="2057" w:type="dxa"/>
            <w:gridSpan w:val="5"/>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5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kern w:val="0"/>
                <w:sz w:val="24"/>
              </w:rPr>
            </w:pPr>
            <w:r>
              <w:rPr>
                <w:rFonts w:hint="eastAsia" w:ascii="仿宋_GB2312" w:hAnsi="仿宋_GB2312" w:eastAsia="仿宋_GB2312" w:cs="仿宋_GB2312"/>
                <w:color w:val="auto"/>
                <w:sz w:val="24"/>
              </w:rPr>
              <w:t>（3）每年召开1次及以上领导小组工作会议，2分。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通知、签到册、会议纪要等文字、图片资料。</w:t>
            </w:r>
          </w:p>
        </w:tc>
        <w:tc>
          <w:tcPr>
            <w:tcW w:w="2057" w:type="dxa"/>
            <w:gridSpan w:val="5"/>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rPr>
          <w:gridAfter w:val="1"/>
          <w:wAfter w:w="13" w:type="dxa"/>
          <w:trHeight w:val="571"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（4）根据实际工作需要及时召开联络员会议，2分。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联络员名单，会议记录；通知、签到册、会议纪要、解决什么问题。</w:t>
            </w:r>
          </w:p>
        </w:tc>
        <w:tc>
          <w:tcPr>
            <w:tcW w:w="2057" w:type="dxa"/>
            <w:gridSpan w:val="5"/>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8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2.辖区政府将慢性病防控工作纳入当地政府经济社会发展规划。（5分）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（1）慢性病防控工作纳入政府社会经济发展规划，3分。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市发改局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国民经济和社会发展规划纲要、</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十三五</w:t>
            </w:r>
            <w:r>
              <w:rPr>
                <w:rFonts w:hint="eastAsia" w:ascii="仿宋_GB2312" w:hAnsi="仿宋_GB2312" w:eastAsia="仿宋_GB2312" w:cs="仿宋_GB2312"/>
                <w:color w:val="auto"/>
                <w:kern w:val="0"/>
                <w:sz w:val="24"/>
                <w:lang w:eastAsia="zh-CN"/>
              </w:rPr>
              <w:t>”</w:t>
            </w:r>
            <w:r>
              <w:rPr>
                <w:rFonts w:hint="eastAsia" w:ascii="仿宋_GB2312" w:hAnsi="仿宋_GB2312" w:eastAsia="仿宋_GB2312" w:cs="仿宋_GB2312"/>
                <w:color w:val="auto"/>
                <w:kern w:val="0"/>
                <w:sz w:val="24"/>
              </w:rPr>
              <w:t>规划、</w:t>
            </w:r>
            <w:r>
              <w:rPr>
                <w:rFonts w:hint="eastAsia" w:ascii="仿宋_GB2312" w:hAnsi="仿宋_GB2312" w:eastAsia="仿宋_GB2312" w:cs="仿宋_GB2312"/>
                <w:color w:val="auto"/>
                <w:kern w:val="0"/>
                <w:sz w:val="24"/>
                <w:lang w:eastAsia="zh-CN"/>
              </w:rPr>
              <w:t>“十四五”规划</w:t>
            </w:r>
            <w:r>
              <w:rPr>
                <w:rFonts w:hint="eastAsia" w:ascii="仿宋_GB2312" w:hAnsi="仿宋_GB2312" w:eastAsia="仿宋_GB2312" w:cs="仿宋_GB2312"/>
                <w:color w:val="auto"/>
                <w:kern w:val="0"/>
                <w:sz w:val="24"/>
              </w:rPr>
              <w:t>（含有慢性病防控内容）（红头文件）。</w:t>
            </w:r>
          </w:p>
        </w:tc>
        <w:tc>
          <w:tcPr>
            <w:tcW w:w="2057" w:type="dxa"/>
            <w:gridSpan w:val="5"/>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519"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（2）政府制定慢性病综合防控示范区建设实施方案，2分。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将示范区建设的职责明确到部门（红头文件）。</w:t>
            </w:r>
          </w:p>
        </w:tc>
        <w:tc>
          <w:tcPr>
            <w:tcW w:w="2057" w:type="dxa"/>
            <w:gridSpan w:val="5"/>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rPr>
          <w:gridAfter w:val="1"/>
          <w:wAfter w:w="13"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6"/>
                <w:kern w:val="0"/>
                <w:sz w:val="24"/>
              </w:rPr>
              <w:t>3.慢性病防控融入部门政策规章制度，有烟草控制、降低有害饮酒、减盐、控油、控制体重、全民健身等慢性病危险因素干预、疾病管理相关的政策规章制度（5分）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抽查5个部门制定落实相关健康政策情况。凡制定并落实，每个部门得1分，制定但没有落实，每个部门得0.5分。满分5分。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各部门、乡镇、街道提供2019-2021年度工作计划、工作总结（要体现慢性病、健康相关内容）、慢性病和健康相关政策制度文件及有关实施情况，佐证本底资料（表格、图片）。</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4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随机抽取5个部门年度工作计划，查看政策相关内容的体现和落实情况；抽查2个部门员工，问询对本部门该政策的知晓与落实情况</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2370"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一、政策完善（45分）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kern w:val="2"/>
                <w:sz w:val="24"/>
                <w:szCs w:val="24"/>
                <w:lang w:val="en-US" w:eastAsia="zh-CN" w:bidi="ar-SA"/>
              </w:rPr>
            </w:pP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（一）发挥政府主导作用，建立多部门协作联动机制。（25分）</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kern w:val="2"/>
                <w:sz w:val="24"/>
                <w:szCs w:val="24"/>
                <w:lang w:val="en-US" w:eastAsia="zh-CN" w:bidi="ar-SA"/>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4.示范区建设领导小组建立工作督导制度，开展示范区建设的多部门联合督导。（5分）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（1）每年组织2次由5个及以上部门参与的联合督导，每次得1分；低于5个部门参与0.5分。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（2）联合督导内容主要包括部门合作建立的信息沟通共享、激励问责、质量控制等3个基本运行机制情况，每个机制为1分。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市政府办</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pStyle w:val="5"/>
              <w:keepNext w:val="0"/>
              <w:keepLines w:val="0"/>
              <w:pageBreakBefore w:val="0"/>
              <w:widowControl w:val="0"/>
              <w:kinsoku/>
              <w:wordWrap/>
              <w:overflowPunct/>
              <w:topLinePunct w:val="0"/>
              <w:autoSpaceDE/>
              <w:autoSpaceDN/>
              <w:bidi w:val="0"/>
              <w:adjustRightInd w:val="0"/>
              <w:snapToGrid w:val="0"/>
              <w:spacing w:line="280" w:lineRule="exact"/>
              <w:ind w:firstLine="0" w:firstLineChars="0"/>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1.制定督导方案、下发督查通报等相关文件及督导工作记录，要求至少有5部门参与，每年2次以上；</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kern w:val="0"/>
                <w:sz w:val="24"/>
              </w:rPr>
              <w:t>联合督导考核实施细则。</w:t>
            </w:r>
            <w:r>
              <w:rPr>
                <w:rFonts w:hint="eastAsia" w:ascii="仿宋_GB2312" w:hAnsi="仿宋_GB2312" w:eastAsia="仿宋_GB2312" w:cs="仿宋_GB2312"/>
                <w:color w:val="auto"/>
                <w:sz w:val="24"/>
              </w:rPr>
              <w:t>督导内容包括信息沟通共享、激励问责、质量控制等3个运行机制。</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kern w:val="0"/>
                <w:sz w:val="24"/>
              </w:rPr>
              <w:t>3、督导通知、记录、图片、通报等</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对于开展了联合督导的，随机抽取1－2个参与部门的负责人，询问3项基本机制的落实情况。</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szCs w:val="24"/>
              </w:rPr>
              <w:t>对于采用第三方督导的，询问第三方3项基本机制的落实情况。</w:t>
            </w:r>
          </w:p>
        </w:tc>
      </w:tr>
      <w:tr>
        <w:trPr>
          <w:gridAfter w:val="1"/>
          <w:wAfter w:w="13" w:type="dxa"/>
          <w:trHeight w:val="145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保障慢性病防控经费。（10分）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1.慢性病防控工作经费纳入政府年度预算、决算管理。（3分）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（1）慢性病防控工作经费纳入政府预算、决算管理，共2分。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市财政局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政府文件或财政文件。1.政府每年度的预算、决算文件（如：滕州市财政局关于批复2019年部门年初预算的通知，附件列出预算、支出明细，明细能体现慢病防控具体经费内容）</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83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（2）经费预算执行率100%，1分。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拨款文件与财务凭证。使用经费的部门、单位出具经费使用凭证（使用率达100%）</w:t>
            </w:r>
          </w:p>
        </w:tc>
        <w:tc>
          <w:tcPr>
            <w:tcW w:w="2057" w:type="dxa"/>
            <w:gridSpan w:val="5"/>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79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2.辖区政府按规划、计划提供示范区建设专项工作经费，专款专用。（5分）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（1）辖区提供示范区建设专项工作经费，3分。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市财政局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财务凭证与拨款的文件。市财政每年度的预算文件、拨款凭证（必须明确为慢病示范区专项经费）</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84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（2）慢性病防控经费专项管理，确保专款专用，2分。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财务凭证。卫生健康局相应拨付凭证、相关部门、单位专项经费管理、使用凭证</w:t>
            </w:r>
          </w:p>
        </w:tc>
        <w:tc>
          <w:tcPr>
            <w:tcW w:w="2057" w:type="dxa"/>
            <w:gridSpan w:val="5"/>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5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3.保障疾控机构的慢性病防控工作经费。（2分）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pacing w:val="-6"/>
                <w:sz w:val="24"/>
              </w:rPr>
              <w:t>慢性病防控工作经费占疾控机构业务总经费的比例＞10%，2分；10%，1分；10%以下不得分。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市财政局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0"/>
                <w:sz w:val="24"/>
              </w:rPr>
              <w:t>市疾控中心</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财务凭证。</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681"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一、政策完善（45分）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（三）建立有效的绩效管理及评价机制。（10分）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1.辖区政府将示范区建设实施方案相关工作纳入各相关部门年度目标管理。（2分）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（1）辖区政府将示范区建设工作纳入各相关部门年度目标管理，纳入绩效考核目标工作，2分。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乡镇街道、各成员单位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市政府年度工作计划、年终考核办考核实施细则包含示范区建设工作内容；各领导小组成员部门年度工作计划、年度工作总结、本系统绩效考核方案有慢性病综合防控示范区建设相关内容</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查阅相关部门的年度计划和年终总结相关资料</w:t>
            </w:r>
          </w:p>
        </w:tc>
      </w:tr>
      <w:tr>
        <w:tblPrEx>
          <w:tblCellMar>
            <w:top w:w="0" w:type="dxa"/>
            <w:left w:w="0" w:type="dxa"/>
            <w:bottom w:w="0" w:type="dxa"/>
            <w:right w:w="0" w:type="dxa"/>
          </w:tblCellMar>
        </w:tblPrEx>
        <w:trPr>
          <w:gridAfter w:val="1"/>
          <w:wAfter w:w="13" w:type="dxa"/>
          <w:trHeight w:val="80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（2）抽查5个部门执行情况，发现2个及以上部门没纳入目标管理和绩效考核者不得分。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乡镇街道、各成员单位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各乡镇街道、成员单位提供部门2019、2020、2021年度计划和工作总结</w:t>
            </w:r>
            <w:r>
              <w:rPr>
                <w:rFonts w:hint="eastAsia" w:ascii="仿宋_GB2312" w:hAnsi="仿宋_GB2312" w:eastAsia="仿宋_GB2312" w:cs="仿宋_GB2312"/>
                <w:color w:val="auto"/>
                <w:kern w:val="0"/>
                <w:sz w:val="24"/>
              </w:rPr>
              <w:t>（计划、总结报告与绩效考核兑现情况）。</w:t>
            </w:r>
          </w:p>
        </w:tc>
        <w:tc>
          <w:tcPr>
            <w:tcW w:w="2057" w:type="dxa"/>
            <w:gridSpan w:val="5"/>
            <w:vMerge w:val="continue"/>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79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2.辖区政府将示范区建设实施方案相关工作纳入部门绩效考核，落实问责制。（8分）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（1）抽取4个相关部门职能科室，询问相关职责知晓与执行情况。部门履职合格的覆盖率达100%，8分。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乡镇街道、各成员单位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各乡镇街道、各成员单位提供相关职能科室工作职责资料,并与其绩效考核挂钩。</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查阅资料，现场询问。</w:t>
            </w:r>
          </w:p>
        </w:tc>
      </w:tr>
      <w:tr>
        <w:tblPrEx>
          <w:tblCellMar>
            <w:top w:w="0" w:type="dxa"/>
            <w:left w:w="0" w:type="dxa"/>
            <w:bottom w:w="0" w:type="dxa"/>
            <w:right w:w="0" w:type="dxa"/>
          </w:tblCellMar>
        </w:tblPrEx>
        <w:trPr>
          <w:gridBefore w:val="1"/>
          <w:gridAfter w:val="1"/>
          <w:wBefore w:w="5" w:type="dxa"/>
          <w:wAfter w:w="13" w:type="dxa"/>
          <w:trHeight w:val="1650" w:hRule="atLeast"/>
        </w:trPr>
        <w:tc>
          <w:tcPr>
            <w:tcW w:w="905"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（一）开展全民健康生活方式行动，构建全方位健康支持性环境。（20分）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1.开展健康家庭、社区、单位、学校、食堂、餐厅建设，数量逐年增加。（8分）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（1）开展健康家庭活动的健康社区占辖区社区总数的30%以上，4分；20-30%，1分；20%以下不得分。复审：</w:t>
            </w:r>
            <w:r>
              <w:rPr>
                <w:rFonts w:hint="eastAsia" w:ascii="仿宋_GB2312" w:hAnsi="仿宋_GB2312" w:eastAsia="仿宋_GB2312" w:cs="仿宋_GB2312"/>
                <w:color w:val="auto"/>
                <w:kern w:val="0"/>
                <w:sz w:val="24"/>
              </w:rPr>
              <w:t>健康社区覆盖率逐年增加5%</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市场监管局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乡镇街道提供《室内健康支持性环境名单一览表》及有关文件；</w:t>
            </w:r>
          </w:p>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乡镇街道、提供健康社区有关资料、健康家庭活动方案、活动资料（家庭名单、活动照片）；</w:t>
            </w:r>
          </w:p>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市场监管局提供健康食堂、餐厅的有关资料；</w:t>
            </w:r>
          </w:p>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市教育体育局提供健康学校的有关资料。</w:t>
            </w:r>
          </w:p>
          <w:p>
            <w:pPr>
              <w:keepNext w:val="0"/>
              <w:keepLines w:val="0"/>
              <w:pageBreakBefore w:val="0"/>
              <w:widowControl w:val="0"/>
              <w:numPr>
                <w:ilvl w:val="0"/>
                <w:numId w:val="2"/>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6"/>
                <w:sz w:val="24"/>
              </w:rPr>
              <w:t>各成员单位负责本机关健康单位创建。</w:t>
            </w:r>
            <w:r>
              <w:rPr>
                <w:rFonts w:hint="eastAsia" w:ascii="仿宋_GB2312" w:hAnsi="仿宋_GB2312" w:eastAsia="仿宋_GB2312" w:cs="仿宋_GB2312"/>
                <w:color w:val="auto"/>
                <w:spacing w:val="-6"/>
                <w:kern w:val="0"/>
                <w:sz w:val="24"/>
              </w:rPr>
              <w:t>健康单位、学校、食堂、餐厅/酒店、社区标准准备好资料和现场</w:t>
            </w:r>
          </w:p>
        </w:tc>
        <w:tc>
          <w:tcPr>
            <w:tcW w:w="2057" w:type="dxa"/>
            <w:gridSpan w:val="5"/>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查看健康支持性环境名单，每类现场随机抽查1个。</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社区指村/居委会。</w:t>
            </w:r>
          </w:p>
        </w:tc>
      </w:tr>
      <w:tr>
        <w:tblPrEx>
          <w:tblCellMar>
            <w:top w:w="0" w:type="dxa"/>
            <w:left w:w="0" w:type="dxa"/>
            <w:bottom w:w="0" w:type="dxa"/>
            <w:right w:w="0" w:type="dxa"/>
          </w:tblCellMar>
        </w:tblPrEx>
        <w:trPr>
          <w:gridBefore w:val="1"/>
          <w:gridAfter w:val="1"/>
          <w:wBefore w:w="5" w:type="dxa"/>
          <w:wAfter w:w="13" w:type="dxa"/>
          <w:trHeight w:val="1675" w:hRule="atLeast"/>
        </w:trPr>
        <w:tc>
          <w:tcPr>
            <w:tcW w:w="905"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（2）健康单位、学校、餐饮（食堂、餐厅）每类不少于5个，每类4分；每少1个扣0.5分。</w:t>
            </w:r>
            <w:r>
              <w:rPr>
                <w:rFonts w:hint="eastAsia" w:ascii="仿宋_GB2312" w:hAnsi="仿宋_GB2312" w:eastAsia="仿宋_GB2312" w:cs="仿宋_GB2312"/>
                <w:color w:val="auto"/>
                <w:kern w:val="0"/>
                <w:sz w:val="24"/>
              </w:rPr>
              <w:t>复审：健康单位、学校、食堂/酒店每年增加2个。</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7" w:type="dxa"/>
            <w:gridSpan w:val="5"/>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Before w:val="1"/>
          <w:gridAfter w:val="1"/>
          <w:wBefore w:w="5" w:type="dxa"/>
          <w:wAfter w:w="13" w:type="dxa"/>
          <w:trHeight w:val="960" w:hRule="atLeast"/>
        </w:trPr>
        <w:tc>
          <w:tcPr>
            <w:tcW w:w="905"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（3）现场评估发现每类中有1个不达标，该类不得分。</w:t>
            </w:r>
          </w:p>
        </w:tc>
        <w:tc>
          <w:tcPr>
            <w:tcW w:w="123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7" w:type="dxa"/>
            <w:gridSpan w:val="5"/>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1245"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（一）开展全民健康生活方式行动，构建全方位健康支持性环境。（20分）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2.开展健康主题公园、步道、小屋、健康一条街等健康支持性环境建设，数量逐年增加。（4分）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（1）健康主题公园、步道、小屋、一条街等，每建设1类，1分，满分4分。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市住建局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市综合行政执法局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eastAsia="zh-CN"/>
              </w:rPr>
              <w:t>市规划编制研究中心</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市住建局、市卫生健康局</w:t>
            </w:r>
            <w:r>
              <w:rPr>
                <w:rFonts w:hint="eastAsia" w:ascii="仿宋_GB2312" w:hAnsi="仿宋_GB2312" w:eastAsia="仿宋_GB2312" w:cs="仿宋_GB2312"/>
                <w:color w:val="auto"/>
                <w:sz w:val="24"/>
                <w:lang w:eastAsia="zh-CN"/>
              </w:rPr>
              <w:t>、市规划编制研究中心</w:t>
            </w:r>
            <w:r>
              <w:rPr>
                <w:rFonts w:hint="eastAsia" w:ascii="仿宋_GB2312" w:hAnsi="仿宋_GB2312" w:eastAsia="仿宋_GB2312" w:cs="仿宋_GB2312"/>
                <w:color w:val="auto"/>
                <w:sz w:val="24"/>
              </w:rPr>
              <w:t>相互配合，依职责做好健康主题公园、健康步道、健康小屋、健康一条街建设、维护。提供：</w:t>
            </w:r>
          </w:p>
          <w:p>
            <w:pPr>
              <w:keepNext w:val="0"/>
              <w:keepLines w:val="0"/>
              <w:pageBreakBefore w:val="0"/>
              <w:widowControl w:val="0"/>
              <w:numPr>
                <w:ilvl w:val="0"/>
                <w:numId w:val="3"/>
              </w:numPr>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《室外健康支持性环境名单一览表》及相关文件；</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2.健康公园、步道、小屋的有关照片资料。</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查看健康支持性环境名单，每类现场随机抽查1个。</w:t>
            </w:r>
          </w:p>
        </w:tc>
      </w:tr>
      <w:tr>
        <w:tblPrEx>
          <w:tblCellMar>
            <w:top w:w="0" w:type="dxa"/>
            <w:left w:w="0" w:type="dxa"/>
            <w:bottom w:w="0" w:type="dxa"/>
            <w:right w:w="0" w:type="dxa"/>
          </w:tblCellMar>
        </w:tblPrEx>
        <w:trPr>
          <w:gridAfter w:val="1"/>
          <w:wAfter w:w="13" w:type="dxa"/>
          <w:trHeight w:val="146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（2）现场评估发现1个不达标，该类不得分。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7" w:type="dxa"/>
            <w:gridSpan w:val="5"/>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184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3.开展“三减三健”（减盐减油减糖、健康口腔、健康体重、健康骨骼）专项行动。（8分）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（1）开展全民健康生活方式的“三减三健”专项行动、每开展一项得1分，满分6分。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市场监管局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4"/>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全民健康生活方式的“三减三健”专项行动活动方案文件；</w:t>
            </w:r>
          </w:p>
          <w:p>
            <w:pPr>
              <w:keepNext w:val="0"/>
              <w:keepLines w:val="0"/>
              <w:pageBreakBefore w:val="0"/>
              <w:widowControl w:val="0"/>
              <w:numPr>
                <w:ilvl w:val="0"/>
                <w:numId w:val="4"/>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活动开展的资料（活动记录表、活动照片）</w:t>
            </w:r>
            <w:r>
              <w:rPr>
                <w:rFonts w:hint="eastAsia" w:ascii="仿宋_GB2312" w:hAnsi="仿宋_GB2312" w:eastAsia="仿宋_GB2312" w:cs="仿宋_GB2312"/>
                <w:color w:val="auto"/>
                <w:kern w:val="0"/>
                <w:sz w:val="24"/>
              </w:rPr>
              <w:t>“三减三健”活动资料，如简报、督查记录、总结等。</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116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（2）食盐与食用油的摄入量低于省平均水平3%以上,各1分。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社会因素调查报告。</w:t>
            </w:r>
          </w:p>
        </w:tc>
        <w:tc>
          <w:tcPr>
            <w:tcW w:w="2057" w:type="dxa"/>
            <w:gridSpan w:val="5"/>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2770" w:hRule="atLeast"/>
        </w:trPr>
        <w:tc>
          <w:tcPr>
            <w:tcW w:w="910"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（二）为群众提供方便、可及的自助式健康检测服务。（10分）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1.社区设立自助式健康检测点，检测内容包括身高、体重、腰围、血压等。（5分）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设立自助式健康检测点的乡镇、街道覆盖率不低于30%，5分；覆盖率20-30%，3分；20%以下不得分。</w:t>
            </w:r>
            <w:r>
              <w:rPr>
                <w:rFonts w:hint="eastAsia" w:ascii="仿宋_GB2312" w:hAnsi="仿宋_GB2312" w:eastAsia="仿宋_GB2312" w:cs="仿宋_GB2312"/>
                <w:color w:val="auto"/>
                <w:kern w:val="0"/>
                <w:sz w:val="24"/>
              </w:rPr>
              <w:t>复审：自助式健康检测点逐年增加5%</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市住建局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各乡镇街道</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在以村居为单位，每年每个乡镇增加至少2个（卫生部门之外）自助检测点（健康社区必设）；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（乡镇街道）提供所设点名单；设立自助式健康检测点的社区名单；</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3.自助检测点的日常维护管理、规章制度等；</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4.提供图片资料。</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查看自助式健康检测点名单,现场随机抽查健康社区、单位各1家。</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社区指村/居委会。</w:t>
            </w:r>
          </w:p>
        </w:tc>
      </w:tr>
      <w:tr>
        <w:tblPrEx>
          <w:tblCellMar>
            <w:top w:w="0" w:type="dxa"/>
            <w:left w:w="0" w:type="dxa"/>
            <w:bottom w:w="0" w:type="dxa"/>
            <w:right w:w="0" w:type="dxa"/>
          </w:tblCellMar>
        </w:tblPrEx>
        <w:trPr>
          <w:gridAfter w:val="2"/>
          <w:wAfter w:w="15" w:type="dxa"/>
          <w:trHeight w:val="1260"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kern w:val="2"/>
                <w:sz w:val="24"/>
                <w:szCs w:val="24"/>
                <w:lang w:val="en-US" w:eastAsia="zh-CN" w:bidi="ar-SA"/>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2"/>
                <w:sz w:val="24"/>
                <w:szCs w:val="24"/>
                <w:lang w:val="en-US" w:eastAsia="zh-CN" w:bidi="ar-SA"/>
              </w:rPr>
            </w:pPr>
            <w:r>
              <w:rPr>
                <w:rFonts w:hint="eastAsia" w:ascii="楷体_GB2312" w:hAnsi="楷体_GB2312" w:eastAsia="楷体_GB2312" w:cs="楷体_GB2312"/>
                <w:b w:val="0"/>
                <w:bCs w:val="0"/>
                <w:color w:val="auto"/>
                <w:sz w:val="24"/>
              </w:rPr>
              <w:t>（二）为群众提供方便、可及的自助式健康检测服务。（10分）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2.社区卫生服务中心和乡镇卫生院设置自助式健康检测点，并提供个体化健康指导。（5分）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（1）设置健康检测点的机构覆盖率＞80%，2分；70-80%，1分；70%以下不得分。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各乡镇街道</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pacing w:val="0"/>
                <w:kern w:val="0"/>
                <w:sz w:val="24"/>
              </w:rPr>
            </w:pPr>
            <w:r>
              <w:rPr>
                <w:rFonts w:hint="eastAsia" w:ascii="仿宋_GB2312" w:hAnsi="仿宋_GB2312" w:eastAsia="仿宋_GB2312" w:cs="仿宋_GB2312"/>
                <w:color w:val="auto"/>
                <w:spacing w:val="0"/>
                <w:kern w:val="0"/>
                <w:sz w:val="24"/>
              </w:rPr>
              <w:t>1.创建健康小屋/自助检测点的文件方案。</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pacing w:val="0"/>
                <w:kern w:val="0"/>
                <w:sz w:val="24"/>
              </w:rPr>
            </w:pPr>
            <w:r>
              <w:rPr>
                <w:rFonts w:hint="eastAsia" w:ascii="仿宋_GB2312" w:hAnsi="仿宋_GB2312" w:eastAsia="仿宋_GB2312" w:cs="仿宋_GB2312"/>
                <w:color w:val="auto"/>
                <w:spacing w:val="0"/>
                <w:kern w:val="0"/>
                <w:sz w:val="24"/>
              </w:rPr>
              <w:t>2.社区卫生服务中心、乡镇卫生院名单。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3.设立健康检测点的社区卫生服务中心、乡镇卫生院名单。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4.提供个性化健康指导的佐证资料（指导记录等）。</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全市21个</w:t>
            </w:r>
            <w:r>
              <w:rPr>
                <w:rFonts w:hint="eastAsia" w:ascii="仿宋_GB2312" w:hAnsi="仿宋_GB2312" w:eastAsia="仿宋_GB2312" w:cs="仿宋_GB2312"/>
                <w:color w:val="auto"/>
                <w:sz w:val="24"/>
              </w:rPr>
              <w:t>乡镇卫生院</w:t>
            </w:r>
            <w:r>
              <w:rPr>
                <w:rFonts w:hint="eastAsia" w:ascii="仿宋_GB2312" w:hAnsi="仿宋_GB2312" w:eastAsia="仿宋_GB2312" w:cs="仿宋_GB2312"/>
                <w:color w:val="auto"/>
                <w:kern w:val="0"/>
                <w:sz w:val="24"/>
              </w:rPr>
              <w:t>均要设置自助式健康检测点，并提供个体化健康指导。</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现场查看医疗机构免费健康检测点的设置及健康指导的记录。</w:t>
            </w:r>
          </w:p>
        </w:tc>
      </w:tr>
      <w:tr>
        <w:tblPrEx>
          <w:tblCellMar>
            <w:top w:w="0" w:type="dxa"/>
            <w:left w:w="0" w:type="dxa"/>
            <w:bottom w:w="0" w:type="dxa"/>
            <w:right w:w="0" w:type="dxa"/>
          </w:tblCellMar>
        </w:tblPrEx>
        <w:trPr>
          <w:gridAfter w:val="2"/>
          <w:wAfter w:w="15" w:type="dxa"/>
          <w:trHeight w:val="13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（2）提供个性化健康指导的机构比例＞50%，3分；40-50%，2分；30-40%，1分；30%以下不得分。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10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5"/>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开展全民健身运动，普及公共体育设施，提高经常参加体育锻炼人口比例。（10分）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1.社区建设15分钟健身圈，居民健身设施完好，提高人均体育场地面积。（2分）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（1）社区15分钟健身圈的覆盖率＞90%，1分；70-90%，0.5分；70%以下不得分。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市住建局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市规划局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市教育体育局提供：</w:t>
            </w:r>
          </w:p>
          <w:p>
            <w:pPr>
              <w:keepNext w:val="0"/>
              <w:keepLines w:val="0"/>
              <w:pageBreakBefore w:val="0"/>
              <w:widowControl w:val="0"/>
              <w:numPr>
                <w:ilvl w:val="0"/>
                <w:numId w:val="6"/>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全市社区15分钟健身圈分布汇总表及覆盖率；</w:t>
            </w:r>
            <w:r>
              <w:rPr>
                <w:rFonts w:hint="eastAsia" w:ascii="仿宋_GB2312" w:hAnsi="仿宋_GB2312" w:eastAsia="仿宋_GB2312" w:cs="仿宋_GB2312"/>
                <w:color w:val="auto"/>
                <w:kern w:val="0"/>
                <w:sz w:val="24"/>
              </w:rPr>
              <w:t>能体现社区15分钟健身圈的覆盖率＞90%</w:t>
            </w:r>
          </w:p>
          <w:p>
            <w:pPr>
              <w:keepNext w:val="0"/>
              <w:keepLines w:val="0"/>
              <w:pageBreakBefore w:val="0"/>
              <w:widowControl w:val="0"/>
              <w:numPr>
                <w:ilvl w:val="0"/>
                <w:numId w:val="6"/>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人均体育场地面积说明。</w:t>
            </w:r>
            <w:r>
              <w:rPr>
                <w:rFonts w:hint="eastAsia" w:ascii="仿宋_GB2312" w:hAnsi="仿宋_GB2312" w:eastAsia="仿宋_GB2312" w:cs="仿宋_GB2312"/>
                <w:color w:val="auto"/>
                <w:kern w:val="0"/>
                <w:sz w:val="24"/>
              </w:rPr>
              <w:t>人均体育场地面积达2平米的佐证材料；</w:t>
            </w:r>
          </w:p>
          <w:p>
            <w:pPr>
              <w:keepNext w:val="0"/>
              <w:keepLines w:val="0"/>
              <w:pageBreakBefore w:val="0"/>
              <w:widowControl w:val="0"/>
              <w:numPr>
                <w:ilvl w:val="0"/>
                <w:numId w:val="6"/>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全市社区体育设施维护情况及现状。</w:t>
            </w:r>
            <w:r>
              <w:rPr>
                <w:rFonts w:hint="eastAsia" w:ascii="仿宋_GB2312" w:hAnsi="仿宋_GB2312" w:eastAsia="仿宋_GB2312" w:cs="仿宋_GB2312"/>
                <w:color w:val="auto"/>
                <w:kern w:val="0"/>
                <w:sz w:val="24"/>
              </w:rPr>
              <w:t>设备完好100%的佐证材料，可逐个社区列表。</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查阅资料，现场随机抽查村委会或居委会。</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社区指村/居委会</w:t>
            </w:r>
          </w:p>
        </w:tc>
      </w:tr>
      <w:tr>
        <w:tblPrEx>
          <w:tblCellMar>
            <w:top w:w="0" w:type="dxa"/>
            <w:left w:w="0" w:type="dxa"/>
            <w:bottom w:w="0" w:type="dxa"/>
            <w:right w:w="0" w:type="dxa"/>
          </w:tblCellMar>
        </w:tblPrEx>
        <w:trPr>
          <w:gridAfter w:val="2"/>
          <w:wAfter w:w="15" w:type="dxa"/>
          <w:trHeight w:val="75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（2）设备完好100%，0.5分；其余0分。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80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（3）人均体育场地面积达2平米，0.5分。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131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2.公共体育场地、有条件的企事业、学校的体育场地免费或低收费向社区居民开放。（2分）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（1）公共体育场地、设施免费或低收费开放比例100%，1分；其余0分。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教育和体育局</w:t>
            </w:r>
            <w:r>
              <w:rPr>
                <w:rFonts w:hint="eastAsia" w:ascii="仿宋_GB2312" w:hAnsi="仿宋_GB2312" w:eastAsia="仿宋_GB2312" w:cs="仿宋_GB2312"/>
                <w:color w:val="auto"/>
                <w:kern w:val="0"/>
                <w:sz w:val="24"/>
              </w:rPr>
              <w:t>牵头，各成员单位创造条件免费或低收费开放。</w:t>
            </w:r>
          </w:p>
          <w:p>
            <w:pPr>
              <w:keepNext w:val="0"/>
              <w:keepLines w:val="0"/>
              <w:pageBreakBefore w:val="0"/>
              <w:widowControl w:val="0"/>
              <w:numPr>
                <w:ilvl w:val="0"/>
                <w:numId w:val="7"/>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相关的文件方案制度。关于公共体育场地、设施免费或低收费开放的政策文件（文件方案制度）</w:t>
            </w:r>
          </w:p>
          <w:p>
            <w:pPr>
              <w:keepNext w:val="0"/>
              <w:keepLines w:val="0"/>
              <w:pageBreakBefore w:val="0"/>
              <w:widowControl w:val="0"/>
              <w:numPr>
                <w:ilvl w:val="0"/>
                <w:numId w:val="7"/>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公共体育场地、设施免费或低收费清单一览表；</w:t>
            </w:r>
          </w:p>
          <w:p>
            <w:pPr>
              <w:keepNext w:val="0"/>
              <w:keepLines w:val="0"/>
              <w:pageBreakBefore w:val="0"/>
              <w:widowControl w:val="0"/>
              <w:numPr>
                <w:ilvl w:val="0"/>
                <w:numId w:val="7"/>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有条件的单位免费或低收费开放比例资料。</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查阅资料，现场评估，走访辖区居民了解开放情况</w:t>
            </w:r>
          </w:p>
        </w:tc>
      </w:tr>
      <w:tr>
        <w:tblPrEx>
          <w:tblCellMar>
            <w:top w:w="0" w:type="dxa"/>
            <w:left w:w="0" w:type="dxa"/>
            <w:bottom w:w="0" w:type="dxa"/>
            <w:right w:w="0" w:type="dxa"/>
          </w:tblCellMar>
        </w:tblPrEx>
        <w:trPr>
          <w:gridAfter w:val="2"/>
          <w:wAfter w:w="15" w:type="dxa"/>
          <w:trHeight w:val="162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（2）有条件的单位免费或低收费开放比例≥30%，1分；30%以下不得分。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163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（三）开展全民健身运动，普及公共体育设施，提高经常参加体育锻炼人口比例。（10分）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3.机关、企事业单位开展工间健身活动，组织符合单位特点的健身和竞赛活动。（2分）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（1）开展工间健身活动单位覆盖率≥80%，1分；80%以下不得分。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报送所有机关、企事业单位基本信息列表，并备注是否开展工间操，体现覆盖率80%以上指标。</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2.健身竞赛有活动方案，总结以及活动的照片等相关佐证资料。</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kern w:val="0"/>
                <w:sz w:val="24"/>
              </w:rPr>
              <w:t>3.</w:t>
            </w:r>
            <w:r>
              <w:rPr>
                <w:rFonts w:hint="eastAsia" w:ascii="仿宋_GB2312" w:hAnsi="仿宋_GB2312" w:eastAsia="仿宋_GB2312" w:cs="仿宋_GB2312"/>
                <w:color w:val="auto"/>
                <w:kern w:val="0"/>
                <w:sz w:val="24"/>
                <w:lang w:eastAsia="zh-CN"/>
              </w:rPr>
              <w:t>制定</w:t>
            </w:r>
            <w:r>
              <w:rPr>
                <w:rFonts w:hint="eastAsia" w:ascii="仿宋_GB2312" w:hAnsi="仿宋_GB2312" w:eastAsia="仿宋_GB2312" w:cs="仿宋_GB2312"/>
                <w:color w:val="auto"/>
                <w:kern w:val="0"/>
                <w:sz w:val="24"/>
              </w:rPr>
              <w:t>全市开展工间操的相关文件和工间操制度。本部门本年度工间操开展情况表、工间操的制度规定、简报、图片等佐证资料和健身竞赛资料</w:t>
            </w:r>
            <w:r>
              <w:rPr>
                <w:rFonts w:hint="eastAsia" w:ascii="仿宋_GB2312" w:hAnsi="仿宋_GB2312" w:eastAsia="仿宋_GB2312" w:cs="仿宋_GB2312"/>
                <w:color w:val="auto"/>
                <w:kern w:val="0"/>
                <w:sz w:val="24"/>
                <w:lang w:eastAsia="zh-CN"/>
              </w:rPr>
              <w:t>。</w:t>
            </w:r>
          </w:p>
        </w:tc>
        <w:tc>
          <w:tcPr>
            <w:tcW w:w="2057" w:type="dxa"/>
            <w:gridSpan w:val="5"/>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rPr>
              <w:t>查阅资料</w:t>
            </w:r>
            <w:r>
              <w:rPr>
                <w:rFonts w:hint="eastAsia" w:ascii="仿宋_GB2312" w:hAnsi="仿宋_GB2312" w:eastAsia="仿宋_GB2312" w:cs="仿宋_GB2312"/>
                <w:color w:val="auto"/>
                <w:kern w:val="0"/>
                <w:sz w:val="24"/>
                <w:szCs w:val="24"/>
                <w:lang w:eastAsia="zh-CN"/>
              </w:rPr>
              <w:t>，</w:t>
            </w:r>
            <w:r>
              <w:rPr>
                <w:rFonts w:hint="eastAsia" w:ascii="仿宋_GB2312" w:hAnsi="仿宋_GB2312" w:eastAsia="仿宋_GB2312" w:cs="仿宋_GB2312"/>
                <w:color w:val="auto"/>
                <w:kern w:val="0"/>
                <w:sz w:val="24"/>
                <w:szCs w:val="24"/>
              </w:rPr>
              <w:t>现场评估</w:t>
            </w:r>
            <w:r>
              <w:rPr>
                <w:rFonts w:hint="eastAsia" w:ascii="仿宋_GB2312" w:hAnsi="仿宋_GB2312" w:eastAsia="仿宋_GB2312" w:cs="仿宋_GB2312"/>
                <w:color w:val="auto"/>
                <w:kern w:val="0"/>
                <w:sz w:val="24"/>
                <w:szCs w:val="24"/>
                <w:lang w:eastAsia="zh-CN"/>
              </w:rPr>
              <w:t>。</w:t>
            </w:r>
          </w:p>
        </w:tc>
      </w:tr>
      <w:tr>
        <w:tblPrEx>
          <w:tblCellMar>
            <w:top w:w="0" w:type="dxa"/>
            <w:left w:w="0" w:type="dxa"/>
            <w:bottom w:w="0" w:type="dxa"/>
            <w:right w:w="0" w:type="dxa"/>
          </w:tblCellMar>
        </w:tblPrEx>
        <w:trPr>
          <w:gridAfter w:val="1"/>
          <w:wAfter w:w="13" w:type="dxa"/>
          <w:trHeight w:val="14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（2）每年机关、企事业单位组织开展至少1次健身竞赛活动，1分；未开展不得分。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7" w:type="dxa"/>
            <w:gridSpan w:val="5"/>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1"/>
          <w:wAfter w:w="13" w:type="dxa"/>
          <w:trHeight w:val="376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4.实施青少年体育活动促进计划。（2分）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中、小学生每天锻炼1小时的比例达到100%，2分；80-100%，1分；80%以下不得分。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1.相关的文件方案制度。（实施方案，通知文件，“中、小学生每天锻炼大于等于1小时”的政策性文件；）</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2.能体现学生锻炼1小时的工作计划、总结或者课程安排、教学计划等相关佐证资料。（收集汇总全市中、小学生锻炼时长汇总统计表，并统计出大于等于1小时的学校比例）</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3.所有中小学名单及基本信息。</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4.每个学校执行情况，督导情况。</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5.青少年体育活动促进计划。</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1"/>
          <w:wAfter w:w="13" w:type="dxa"/>
          <w:trHeight w:val="146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5.提高经常参加体育锻炼人口比例。（2分）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经常参加体育锻炼人口比例≥40%,2分；35-40%，1分；35%以下不得分。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1.相关的文件方案制度。</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2.体现经常参加体育锻炼人口数以及比例的相关资料。</w:t>
            </w:r>
          </w:p>
        </w:tc>
        <w:tc>
          <w:tcPr>
            <w:tcW w:w="2057" w:type="dxa"/>
            <w:gridSpan w:val="5"/>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查阅相关资料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320"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二、环境支持（50分）</w:t>
            </w: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（四）开展烟草控制，降低人群吸烟率。（10分）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pacing w:val="-11"/>
                <w:sz w:val="24"/>
              </w:rPr>
            </w:pPr>
            <w:r>
              <w:rPr>
                <w:rFonts w:hint="eastAsia" w:ascii="仿宋_GB2312" w:hAnsi="仿宋_GB2312" w:eastAsia="仿宋_GB2312" w:cs="仿宋_GB2312"/>
                <w:color w:val="auto"/>
                <w:spacing w:val="-11"/>
                <w:sz w:val="24"/>
              </w:rPr>
              <w:t>1.辖区室内公共场所、工作场所和公共交通工具设置禁止吸烟警语和标识。（3分）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辖区100%的室内公共场所和工作场所设置禁止吸烟警语和标识，3分；95%-100%,1分；95%以下不得分。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各成员单位现场张贴禁止吸烟警语和标识；每年提供典型照片。</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现场随机抽查、查阅相关资料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657"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2.禁止烟草广告。（1分）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（1）辖区有禁止烟草广告的政策文件，0.5分。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场监管局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综合行政执法</w:t>
            </w:r>
            <w:r>
              <w:rPr>
                <w:rFonts w:hint="eastAsia" w:ascii="仿宋_GB2312" w:hAnsi="仿宋_GB2312" w:eastAsia="仿宋_GB2312" w:cs="仿宋_GB2312"/>
                <w:color w:val="auto"/>
                <w:sz w:val="24"/>
              </w:rPr>
              <w:t>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市市场监管局提供禁止户外烟草广告的政策文件及落实情况说明或总结；</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综合行政执法局</w:t>
            </w:r>
            <w:r>
              <w:rPr>
                <w:rFonts w:hint="eastAsia" w:ascii="仿宋_GB2312" w:hAnsi="仿宋_GB2312" w:eastAsia="仿宋_GB2312" w:cs="仿宋_GB2312"/>
                <w:color w:val="auto"/>
                <w:sz w:val="24"/>
              </w:rPr>
              <w:t>负责落实杜绝户外烟草广告查处，并报送小结。</w:t>
            </w:r>
          </w:p>
        </w:tc>
        <w:tc>
          <w:tcPr>
            <w:tcW w:w="2040" w:type="dxa"/>
            <w:gridSpan w:val="3"/>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查阅资料，现场评估</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562"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（2）辖区未发现烟草广告，0.5分。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40" w:type="dxa"/>
            <w:gridSpan w:val="3"/>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85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3.建设无烟机关、无烟医疗卫生机构、无烟学校。（2分）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（1）覆盖率均达100%，2分；低于100%不得分。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市教体局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8"/>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建设无烟机关、无烟医疗卫生机构、无烟学校有关文件通知；</w:t>
            </w:r>
          </w:p>
          <w:p>
            <w:pPr>
              <w:keepNext w:val="0"/>
              <w:keepLines w:val="0"/>
              <w:pageBreakBefore w:val="0"/>
              <w:widowControl w:val="0"/>
              <w:numPr>
                <w:ilvl w:val="0"/>
                <w:numId w:val="8"/>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无烟机关名单、无烟学校名单、无烟卫生机构名单。</w:t>
            </w:r>
          </w:p>
          <w:p>
            <w:pPr>
              <w:keepNext w:val="0"/>
              <w:keepLines w:val="0"/>
              <w:pageBreakBefore w:val="0"/>
              <w:widowControl w:val="0"/>
              <w:numPr>
                <w:ilvl w:val="0"/>
                <w:numId w:val="8"/>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各成员单位按照无烟党政机关要求准备资料和现场</w:t>
            </w:r>
            <w:r>
              <w:rPr>
                <w:rFonts w:hint="eastAsia" w:ascii="仿宋_GB2312" w:hAnsi="仿宋_GB2312" w:eastAsia="仿宋_GB2312" w:cs="仿宋_GB2312"/>
                <w:color w:val="auto"/>
                <w:kern w:val="0"/>
                <w:sz w:val="24"/>
                <w:lang w:eastAsia="zh-CN"/>
              </w:rPr>
              <w:t>。</w:t>
            </w:r>
          </w:p>
        </w:tc>
        <w:tc>
          <w:tcPr>
            <w:tcW w:w="2040" w:type="dxa"/>
            <w:gridSpan w:val="3"/>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查阅资料，现场随机抽查</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89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（2）抽查发现1个单位不合格，不得分。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40" w:type="dxa"/>
            <w:gridSpan w:val="3"/>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81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4.辖区各级医疗机构开展简短戒烟服务培训，二级及以上医疗机构提供简短戒烟服务。（2分）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(1)开展简短戒烟服务培训的医疗机构覆盖率≥80%，1分；80%以下不得分。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各医疗机构</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1.相关文件方案制度。</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2.所有医疗机构名单。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3.开展简短戒烟服务培训的医疗机构名单。</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4.培训文件及相关资料。</w:t>
            </w:r>
          </w:p>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5.二级及以上医疗机构简短戒烟服务的相关资料。</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查阅资料,现场抽查医疗机构提供简短戒烟服务的情况。</w:t>
            </w:r>
          </w:p>
        </w:tc>
      </w:tr>
      <w:tr>
        <w:tblPrEx>
          <w:tblCellMar>
            <w:top w:w="0" w:type="dxa"/>
            <w:left w:w="0" w:type="dxa"/>
            <w:bottom w:w="0" w:type="dxa"/>
            <w:right w:w="0" w:type="dxa"/>
          </w:tblCellMar>
        </w:tblPrEx>
        <w:trPr>
          <w:gridAfter w:val="3"/>
          <w:wAfter w:w="30" w:type="dxa"/>
          <w:trHeight w:val="69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(2)提供简短戒烟服务的医疗机构覆盖率100%，1分；100%以下不得分。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40" w:type="dxa"/>
            <w:gridSpan w:val="3"/>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68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医疗机构包括辖区所在一、二、三级医疗机构。</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40" w:type="dxa"/>
            <w:gridSpan w:val="3"/>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67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w:t>
            </w:r>
            <w:r>
              <w:rPr>
                <w:rFonts w:hint="eastAsia" w:ascii="仿宋_GB2312" w:hAnsi="仿宋_GB2312" w:eastAsia="仿宋_GB2312" w:cs="仿宋_GB2312"/>
                <w:color w:val="auto"/>
                <w:spacing w:val="-6"/>
                <w:sz w:val="24"/>
              </w:rPr>
              <w:t>降低辖区15岁以上成人吸烟率。（2分）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15岁以上成人吸烟率低于25%，2分。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提供问卷调查资料。</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pacing w:val="-17"/>
                <w:sz w:val="24"/>
                <w:szCs w:val="24"/>
              </w:rPr>
              <w:t>查阅慢病与营养监测、社会因素调查报告</w:t>
            </w:r>
            <w:r>
              <w:rPr>
                <w:rFonts w:hint="eastAsia" w:ascii="仿宋_GB2312" w:hAnsi="仿宋_GB2312" w:eastAsia="仿宋_GB2312" w:cs="仿宋_GB2312"/>
                <w:color w:val="auto"/>
                <w:spacing w:val="-17"/>
                <w:sz w:val="24"/>
                <w:szCs w:val="24"/>
                <w:lang w:eastAsia="zh-CN"/>
              </w:rPr>
              <w:t>。</w:t>
            </w:r>
          </w:p>
        </w:tc>
      </w:tr>
      <w:tr>
        <w:tblPrEx>
          <w:tblCellMar>
            <w:top w:w="0" w:type="dxa"/>
            <w:left w:w="0" w:type="dxa"/>
            <w:bottom w:w="0" w:type="dxa"/>
            <w:right w:w="0" w:type="dxa"/>
          </w:tblCellMar>
        </w:tblPrEx>
        <w:trPr>
          <w:gridAfter w:val="3"/>
          <w:wAfter w:w="30" w:type="dxa"/>
          <w:trHeight w:val="715" w:hRule="atLeast"/>
        </w:trPr>
        <w:tc>
          <w:tcPr>
            <w:tcW w:w="910"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kern w:val="0"/>
                <w:sz w:val="24"/>
              </w:rPr>
              <w:t>（五）建设促进健康的场所和环境</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健康的公共环境</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空气质量检测。</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枣庄市</w:t>
            </w:r>
            <w:r>
              <w:rPr>
                <w:rFonts w:hint="eastAsia" w:ascii="仿宋_GB2312" w:hAnsi="仿宋_GB2312" w:eastAsia="仿宋_GB2312" w:cs="仿宋_GB2312"/>
                <w:color w:val="auto"/>
                <w:sz w:val="24"/>
                <w:lang w:eastAsia="zh-CN"/>
              </w:rPr>
              <w:t>生态</w:t>
            </w:r>
            <w:r>
              <w:rPr>
                <w:rFonts w:hint="eastAsia" w:ascii="仿宋_GB2312" w:hAnsi="仿宋_GB2312" w:eastAsia="仿宋_GB2312" w:cs="仿宋_GB2312"/>
                <w:color w:val="auto"/>
                <w:sz w:val="24"/>
              </w:rPr>
              <w:t>环境局滕州分局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kern w:val="0"/>
                <w:sz w:val="24"/>
              </w:rPr>
              <w:t>每年度辖区环境空气质量监测的结果及佐证资料</w:t>
            </w:r>
            <w:r>
              <w:rPr>
                <w:rFonts w:hint="eastAsia" w:ascii="仿宋_GB2312" w:hAnsi="仿宋_GB2312" w:eastAsia="仿宋_GB2312" w:cs="仿宋_GB2312"/>
                <w:color w:val="auto"/>
                <w:kern w:val="0"/>
                <w:sz w:val="24"/>
                <w:lang w:eastAsia="zh-CN"/>
              </w:rPr>
              <w:t>。</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910" w:hRule="atLeast"/>
        </w:trPr>
        <w:tc>
          <w:tcPr>
            <w:tcW w:w="910" w:type="dxa"/>
            <w:gridSpan w:val="2"/>
            <w:vMerge w:val="restart"/>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lang w:eastAsia="zh-CN"/>
              </w:rPr>
              <w:t>三、</w:t>
            </w:r>
            <w:r>
              <w:rPr>
                <w:rFonts w:hint="eastAsia" w:ascii="黑体" w:hAnsi="黑体" w:eastAsia="黑体" w:cs="黑体"/>
                <w:b w:val="0"/>
                <w:bCs w:val="0"/>
                <w:color w:val="auto"/>
                <w:sz w:val="24"/>
                <w:szCs w:val="24"/>
              </w:rPr>
              <w:t>体系整合（30分）</w:t>
            </w: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r>
              <w:rPr>
                <w:rFonts w:hint="eastAsia" w:ascii="楷体_GB2312" w:hAnsi="楷体_GB2312" w:eastAsia="楷体_GB2312" w:cs="楷体_GB2312"/>
                <w:b w:val="0"/>
                <w:bCs w:val="0"/>
                <w:color w:val="auto"/>
                <w:sz w:val="24"/>
              </w:rPr>
              <w:t>（一）建立防治结合、分工协作、优势互补、上下联动的慢性病综合防治体系。（15分）</w:t>
            </w: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1.建立完善慢性病防控服务体系和分工明确、上下联动的工作机制。（8分）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（1）制订实施慢性病防控服务体系建设的方案，4分。</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医疗卫生机构</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提供相关的制度（体系建设方案及三个部门职责分工的文件）及信息平台,查看防、治、管的情况，查阅相关的文件以及考核兑现情况。</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13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（2）明确专业公共卫生机构、医院和基层医疗卫生机构职责，4分。</w:t>
            </w:r>
          </w:p>
        </w:tc>
        <w:tc>
          <w:tcPr>
            <w:tcW w:w="123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81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2.建立完善信息共享、互联互通等的工作机制，推进慢性病防、治、管的整合。（7分）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（1）督导慢病防控服务体系的有效运行，2分。</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市疾控中心</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提供督导报告。</w:t>
            </w:r>
            <w:r>
              <w:rPr>
                <w:rFonts w:hint="eastAsia" w:ascii="仿宋_GB2312" w:hAnsi="仿宋_GB2312" w:eastAsia="仿宋_GB2312" w:cs="仿宋_GB2312"/>
                <w:color w:val="auto"/>
                <w:sz w:val="24"/>
              </w:rPr>
              <w:t>体系运行、质控、绩效评价机制相关文件。</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查看相关的制度及信息平台，查看防、治、管的情况，查阅相关的文件以及考核兑现情况</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20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（2）建立完善慢病防控服务体系的运行、质控、绩效评价机制，3分。</w:t>
            </w:r>
          </w:p>
        </w:tc>
        <w:tc>
          <w:tcPr>
            <w:tcW w:w="123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每年度慢性病综合防控、基本公共卫生服务中老、高、糖督导考核资料及结果运用资料。</w:t>
            </w: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1760"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（3）疾控、医院对基层医疗卫生机构进行技术指导和对口支援，建立有效的合作关系，2分。</w:t>
            </w:r>
          </w:p>
        </w:tc>
        <w:tc>
          <w:tcPr>
            <w:tcW w:w="123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技术指导和对口支援相关文件或协议等。全市</w:t>
            </w:r>
            <w:r>
              <w:rPr>
                <w:rFonts w:hint="eastAsia" w:ascii="仿宋_GB2312" w:hAnsi="仿宋_GB2312" w:eastAsia="仿宋_GB2312" w:cs="仿宋_GB2312"/>
                <w:color w:val="auto"/>
                <w:spacing w:val="0"/>
                <w:kern w:val="0"/>
                <w:sz w:val="24"/>
              </w:rPr>
              <w:t>对口支援</w:t>
            </w:r>
            <w:r>
              <w:rPr>
                <w:rFonts w:hint="eastAsia" w:ascii="仿宋_GB2312" w:hAnsi="仿宋_GB2312" w:eastAsia="仿宋_GB2312" w:cs="仿宋_GB2312"/>
                <w:color w:val="auto"/>
                <w:spacing w:val="0"/>
                <w:kern w:val="0"/>
                <w:sz w:val="24"/>
                <w:lang w:val="en-US" w:eastAsia="zh-CN"/>
              </w:rPr>
              <w:t>(</w:t>
            </w:r>
            <w:r>
              <w:rPr>
                <w:rFonts w:hint="eastAsia" w:ascii="仿宋_GB2312" w:hAnsi="仿宋_GB2312" w:eastAsia="仿宋_GB2312" w:cs="仿宋_GB2312"/>
                <w:color w:val="auto"/>
                <w:spacing w:val="0"/>
                <w:kern w:val="0"/>
                <w:sz w:val="24"/>
              </w:rPr>
              <w:t>支农)</w:t>
            </w:r>
            <w:r>
              <w:rPr>
                <w:rFonts w:hint="eastAsia" w:ascii="仿宋_GB2312" w:hAnsi="仿宋_GB2312" w:eastAsia="仿宋_GB2312" w:cs="仿宋_GB2312"/>
                <w:color w:val="auto"/>
                <w:spacing w:val="0"/>
                <w:kern w:val="0"/>
                <w:sz w:val="24"/>
                <w:lang w:eastAsia="zh-CN"/>
              </w:rPr>
              <w:t>政策</w:t>
            </w:r>
            <w:r>
              <w:rPr>
                <w:rFonts w:hint="eastAsia" w:ascii="仿宋_GB2312" w:hAnsi="仿宋_GB2312" w:eastAsia="仿宋_GB2312" w:cs="仿宋_GB2312"/>
                <w:color w:val="auto"/>
                <w:spacing w:val="0"/>
                <w:kern w:val="0"/>
                <w:sz w:val="24"/>
              </w:rPr>
              <w:t>落实情况总结</w:t>
            </w:r>
            <w:r>
              <w:rPr>
                <w:rFonts w:hint="eastAsia" w:ascii="仿宋_GB2312" w:hAnsi="仿宋_GB2312" w:eastAsia="仿宋_GB2312" w:cs="仿宋_GB2312"/>
                <w:color w:val="auto"/>
                <w:spacing w:val="0"/>
                <w:kern w:val="0"/>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pacing w:val="-11"/>
                <w:sz w:val="24"/>
              </w:rPr>
              <w:t>每年度对镇</w:t>
            </w:r>
            <w:r>
              <w:rPr>
                <w:rFonts w:hint="eastAsia" w:ascii="仿宋_GB2312" w:hAnsi="仿宋_GB2312" w:eastAsia="仿宋_GB2312" w:cs="仿宋_GB2312"/>
                <w:color w:val="auto"/>
                <w:spacing w:val="-11"/>
                <w:sz w:val="24"/>
                <w:lang w:eastAsia="zh-CN"/>
              </w:rPr>
              <w:t>街</w:t>
            </w:r>
            <w:r>
              <w:rPr>
                <w:rFonts w:hint="eastAsia" w:ascii="仿宋_GB2312" w:hAnsi="仿宋_GB2312" w:eastAsia="仿宋_GB2312" w:cs="仿宋_GB2312"/>
                <w:color w:val="auto"/>
                <w:spacing w:val="-11"/>
                <w:sz w:val="24"/>
              </w:rPr>
              <w:t>慢病防控技术指导资料。</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lang w:val="en-US" w:eastAsia="zh-CN"/>
              </w:rPr>
              <w:t>3.</w:t>
            </w:r>
            <w:r>
              <w:rPr>
                <w:rFonts w:hint="eastAsia" w:ascii="仿宋_GB2312" w:hAnsi="仿宋_GB2312" w:eastAsia="仿宋_GB2312" w:cs="仿宋_GB2312"/>
                <w:color w:val="auto"/>
                <w:sz w:val="24"/>
              </w:rPr>
              <w:t>医院提供对基层对口支援的总结。</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2525" w:hRule="atLeast"/>
        </w:trPr>
        <w:tc>
          <w:tcPr>
            <w:tcW w:w="910"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r>
              <w:rPr>
                <w:rFonts w:hint="eastAsia" w:ascii="楷体_GB2312" w:hAnsi="楷体_GB2312" w:eastAsia="楷体_GB2312" w:cs="楷体_GB2312"/>
                <w:b w:val="0"/>
                <w:bCs w:val="0"/>
                <w:color w:val="auto"/>
                <w:sz w:val="24"/>
              </w:rPr>
              <w:t>（二）加强慢性病防控队伍建设。（15分）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1.辖区疾病预防控制机构按职能有独立的慢性病防控科室，配备专职人员。（5分）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（1）疾病预防控制机构有独立的慢性病防控科室，2分。</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（2）专职人员占本机构专业人员总数的比例≥10%，2分；5-10%，1分；低于5%不得分。</w:t>
            </w:r>
          </w:p>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（3）每年接受上级专业培训不少于2次，1分。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1.成立独立科室文件。附专职人员名单，专业人员总名单。</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2.接受国家、省市培训通知、记录或学分。</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860" w:hRule="atLeast"/>
        </w:trPr>
        <w:tc>
          <w:tcPr>
            <w:tcW w:w="910" w:type="dxa"/>
            <w:gridSpan w:val="2"/>
            <w:vMerge w:val="restart"/>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lang w:eastAsia="zh-CN"/>
              </w:rPr>
              <w:t>三、</w:t>
            </w:r>
            <w:r>
              <w:rPr>
                <w:rFonts w:hint="eastAsia" w:ascii="黑体" w:hAnsi="黑体" w:eastAsia="黑体" w:cs="黑体"/>
                <w:b w:val="0"/>
                <w:bCs w:val="0"/>
                <w:color w:val="auto"/>
                <w:sz w:val="24"/>
                <w:szCs w:val="24"/>
              </w:rPr>
              <w:t>体系整合（30分）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r>
              <w:rPr>
                <w:rFonts w:hint="eastAsia" w:ascii="楷体_GB2312" w:hAnsi="楷体_GB2312" w:eastAsia="楷体_GB2312" w:cs="楷体_GB2312"/>
                <w:b w:val="0"/>
                <w:bCs w:val="0"/>
                <w:color w:val="auto"/>
                <w:sz w:val="24"/>
              </w:rPr>
              <w:t>（二）加强慢性病防控队伍建设。（15分）</w:t>
            </w: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2.二级以上医院配备公共卫生专业人员，履行相应的公共卫生职责。（5分）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（1）二级以上医院有承担疾病预防控制工作的部门，2分。</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辖区二级以上医院</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辖区二级以上医院名单。</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sz w:val="24"/>
              </w:rPr>
              <w:t>2</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各二级以上医疗卫生机构提供相关资料。（1）医院提供部门、职责、人员名单。（2）培训通知、签到、照片、总结等</w:t>
            </w:r>
            <w:r>
              <w:rPr>
                <w:rFonts w:hint="eastAsia" w:ascii="仿宋_GB2312" w:hAnsi="仿宋_GB2312" w:eastAsia="仿宋_GB2312" w:cs="仿宋_GB2312"/>
                <w:color w:val="auto"/>
                <w:sz w:val="24"/>
                <w:lang w:eastAsia="zh-CN"/>
              </w:rPr>
              <w:t>。</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19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（2）二级以上医院有专职的公共卫生人员承担慢性病防控工作，2分。</w:t>
            </w:r>
          </w:p>
        </w:tc>
        <w:tc>
          <w:tcPr>
            <w:tcW w:w="123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1470"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（3）二级以上医院每年组织对辖区基层医疗卫生机构的慢病专业培训不少于2次，1分。</w:t>
            </w:r>
          </w:p>
        </w:tc>
        <w:tc>
          <w:tcPr>
            <w:tcW w:w="123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123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rPr>
              <w:t>3.基层医疗卫生机构加强公共卫生服务能力建设，承担所在区域慢性病防控工作。（5分）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（1）基层医疗机构设有单独的科室负责慢性病防控工作，1分。</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镇</w:t>
            </w:r>
            <w:r>
              <w:rPr>
                <w:rFonts w:hint="eastAsia" w:ascii="仿宋_GB2312" w:hAnsi="仿宋_GB2312" w:eastAsia="仿宋_GB2312" w:cs="仿宋_GB2312"/>
                <w:color w:val="auto"/>
                <w:sz w:val="24"/>
                <w:lang w:eastAsia="zh-CN"/>
              </w:rPr>
              <w:t>街</w:t>
            </w:r>
            <w:r>
              <w:rPr>
                <w:rFonts w:hint="eastAsia" w:ascii="仿宋_GB2312" w:hAnsi="仿宋_GB2312" w:eastAsia="仿宋_GB2312" w:cs="仿宋_GB2312"/>
                <w:color w:val="auto"/>
                <w:sz w:val="24"/>
              </w:rPr>
              <w:t>卫生</w:t>
            </w:r>
            <w:r>
              <w:rPr>
                <w:rFonts w:hint="eastAsia" w:ascii="仿宋_GB2312" w:hAnsi="仿宋_GB2312" w:eastAsia="仿宋_GB2312" w:cs="仿宋_GB2312"/>
                <w:color w:val="auto"/>
                <w:sz w:val="24"/>
                <w:lang w:eastAsia="zh-CN"/>
              </w:rPr>
              <w:t>院</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1.提供科室名称、人员名单（文件）。</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2.基层医疗机构每年接受上级培训不限于慢病防控工作人员，可包括临床等负责慢病治疗的人员培训；上级（包括疾控、上级医院）培训通知、学分。对下级培训</w:t>
            </w:r>
            <w:r>
              <w:rPr>
                <w:rFonts w:hint="eastAsia" w:ascii="仿宋_GB2312" w:hAnsi="仿宋_GB2312" w:eastAsia="仿宋_GB2312" w:cs="仿宋_GB2312"/>
                <w:color w:val="auto"/>
                <w:sz w:val="24"/>
              </w:rPr>
              <w:t>通知、签到、照片、总结等。</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lang w:eastAsia="zh-CN"/>
              </w:rPr>
              <w:t>查阅资料。</w:t>
            </w:r>
          </w:p>
        </w:tc>
      </w:tr>
      <w:tr>
        <w:tblPrEx>
          <w:tblCellMar>
            <w:top w:w="0" w:type="dxa"/>
            <w:left w:w="0" w:type="dxa"/>
            <w:bottom w:w="0" w:type="dxa"/>
            <w:right w:w="0" w:type="dxa"/>
          </w:tblCellMar>
        </w:tblPrEx>
        <w:trPr>
          <w:gridAfter w:val="3"/>
          <w:wAfter w:w="30" w:type="dxa"/>
          <w:trHeight w:val="1135"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（2）基层医疗机构有专职的公共卫生人员承担慢性病防控工作，2分。</w:t>
            </w:r>
          </w:p>
        </w:tc>
        <w:tc>
          <w:tcPr>
            <w:tcW w:w="123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960" w:hRule="atLeast"/>
        </w:trPr>
        <w:tc>
          <w:tcPr>
            <w:tcW w:w="910"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（3）基层医疗机构每年接受上级培训不少于4次，1分。</w:t>
            </w:r>
          </w:p>
        </w:tc>
        <w:tc>
          <w:tcPr>
            <w:tcW w:w="123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1580" w:hRule="atLeast"/>
        </w:trPr>
        <w:tc>
          <w:tcPr>
            <w:tcW w:w="910"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kern w:val="0"/>
                <w:sz w:val="24"/>
              </w:rPr>
            </w:pPr>
          </w:p>
        </w:tc>
        <w:tc>
          <w:tcPr>
            <w:tcW w:w="2157"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（4）基层医疗机构每年组织对村医或社区卫生服务站医护人员的培训不少于2次，1分。</w:t>
            </w:r>
          </w:p>
        </w:tc>
        <w:tc>
          <w:tcPr>
            <w:tcW w:w="123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4"/>
          <w:wAfter w:w="47" w:type="dxa"/>
          <w:trHeight w:val="2409"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四、健康教育与健康促进（28分）</w:t>
            </w:r>
          </w:p>
        </w:tc>
        <w:tc>
          <w:tcPr>
            <w:tcW w:w="1366"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（一）通过多种渠道积极开展慢性病防治全民健康教育。（10分）</w:t>
            </w:r>
          </w:p>
        </w:tc>
        <w:tc>
          <w:tcPr>
            <w:tcW w:w="2162"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1.广泛开展健康教育，定期传播慢性病防治和健康素养知识和技能。（2分）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（1）利用传统媒体和互联网等新媒体广泛开展慢性病防治和健康教育，每月不少于2次，2分。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市委宣传部、</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市融媒体中心</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市妇联</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4048"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rPr>
              <w:t>1.</w:t>
            </w:r>
            <w:r>
              <w:rPr>
                <w:rFonts w:hint="eastAsia" w:ascii="仿宋_GB2312" w:hAnsi="仿宋_GB2312" w:eastAsia="仿宋_GB2312" w:cs="仿宋_GB2312"/>
                <w:color w:val="auto"/>
                <w:kern w:val="0"/>
                <w:sz w:val="24"/>
                <w:szCs w:val="24"/>
                <w:lang w:eastAsia="zh-CN"/>
              </w:rPr>
              <w:t>滕州</w:t>
            </w:r>
            <w:r>
              <w:rPr>
                <w:rFonts w:hint="eastAsia" w:ascii="仿宋_GB2312" w:hAnsi="仿宋_GB2312" w:eastAsia="仿宋_GB2312" w:cs="仿宋_GB2312"/>
                <w:color w:val="auto"/>
                <w:kern w:val="0"/>
                <w:sz w:val="24"/>
                <w:szCs w:val="24"/>
              </w:rPr>
              <w:t>电视台、滕州日报等媒体宣传汇总表；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2.</w:t>
            </w:r>
            <w:r>
              <w:rPr>
                <w:rFonts w:hint="eastAsia" w:ascii="仿宋_GB2312" w:hAnsi="仿宋_GB2312" w:eastAsia="仿宋_GB2312" w:cs="仿宋_GB2312"/>
                <w:color w:val="auto"/>
                <w:kern w:val="0"/>
                <w:sz w:val="24"/>
                <w:szCs w:val="24"/>
              </w:rPr>
              <w:t>每一次宣传的佐证资料；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3.</w:t>
            </w:r>
            <w:r>
              <w:rPr>
                <w:rFonts w:hint="eastAsia" w:ascii="仿宋_GB2312" w:hAnsi="仿宋_GB2312" w:eastAsia="仿宋_GB2312" w:cs="仿宋_GB2312"/>
                <w:color w:val="auto"/>
                <w:kern w:val="0"/>
                <w:sz w:val="24"/>
                <w:szCs w:val="24"/>
              </w:rPr>
              <w:t>与健康相关的科普宣传资料;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lang w:eastAsia="zh-CN"/>
              </w:rPr>
            </w:pPr>
            <w:r>
              <w:rPr>
                <w:rFonts w:hint="eastAsia" w:ascii="仿宋_GB2312" w:hAnsi="仿宋_GB2312" w:eastAsia="仿宋_GB2312" w:cs="仿宋_GB2312"/>
                <w:color w:val="auto"/>
                <w:kern w:val="0"/>
                <w:sz w:val="24"/>
                <w:szCs w:val="24"/>
                <w:lang w:val="en-US" w:eastAsia="zh-CN"/>
              </w:rPr>
              <w:t>4.</w:t>
            </w:r>
            <w:r>
              <w:rPr>
                <w:rFonts w:hint="eastAsia" w:ascii="仿宋_GB2312" w:hAnsi="仿宋_GB2312" w:eastAsia="仿宋_GB2312" w:cs="仿宋_GB2312"/>
                <w:color w:val="auto"/>
                <w:kern w:val="0"/>
                <w:sz w:val="24"/>
                <w:szCs w:val="24"/>
              </w:rPr>
              <w:t>市妇联对妇女儿童的慢性病防控健康宣教资料</w:t>
            </w:r>
            <w:r>
              <w:rPr>
                <w:rFonts w:hint="eastAsia" w:ascii="仿宋_GB2312" w:hAnsi="仿宋_GB2312" w:eastAsia="仿宋_GB2312" w:cs="仿宋_GB2312"/>
                <w:color w:val="auto"/>
                <w:kern w:val="0"/>
                <w:sz w:val="24"/>
                <w:szCs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szCs w:val="24"/>
              </w:rPr>
            </w:pPr>
            <w:r>
              <w:rPr>
                <w:rFonts w:hint="eastAsia" w:ascii="仿宋_GB2312" w:hAnsi="仿宋_GB2312" w:eastAsia="仿宋_GB2312" w:cs="仿宋_GB2312"/>
                <w:color w:val="auto"/>
                <w:kern w:val="0"/>
                <w:sz w:val="24"/>
                <w:szCs w:val="24"/>
                <w:lang w:val="en-US" w:eastAsia="zh-CN"/>
              </w:rPr>
              <w:t>5.</w:t>
            </w:r>
            <w:r>
              <w:rPr>
                <w:rFonts w:hint="eastAsia" w:ascii="仿宋_GB2312" w:hAnsi="仿宋_GB2312" w:eastAsia="仿宋_GB2312" w:cs="仿宋_GB2312"/>
                <w:color w:val="auto"/>
                <w:kern w:val="0"/>
                <w:sz w:val="24"/>
                <w:szCs w:val="24"/>
              </w:rPr>
              <w:t>互联网登录可查询相关内容。</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rPr>
              <w:t>市委宣传部协调，市卫健局提供宣传内容，融媒体中心及各成员单位提供媒体刊播、合订本等资料，互联网登录可查询相关内容</w:t>
            </w:r>
            <w:r>
              <w:rPr>
                <w:rFonts w:hint="eastAsia" w:ascii="仿宋_GB2312" w:hAnsi="仿宋_GB2312" w:eastAsia="仿宋_GB2312" w:cs="仿宋_GB2312"/>
                <w:color w:val="auto"/>
                <w:kern w:val="0"/>
                <w:sz w:val="24"/>
                <w:szCs w:val="24"/>
                <w:lang w:eastAsia="zh-CN"/>
              </w:rPr>
              <w:t>。</w:t>
            </w:r>
          </w:p>
        </w:tc>
        <w:tc>
          <w:tcPr>
            <w:tcW w:w="1935"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查阅资料</w:t>
            </w:r>
            <w:r>
              <w:rPr>
                <w:rFonts w:hint="eastAsia" w:ascii="仿宋_GB2312" w:hAnsi="仿宋_GB2312" w:eastAsia="仿宋_GB2312" w:cs="仿宋_GB2312"/>
                <w:color w:val="auto"/>
                <w:sz w:val="24"/>
                <w:lang w:eastAsia="zh-CN"/>
              </w:rPr>
              <w:t>。</w:t>
            </w:r>
          </w:p>
        </w:tc>
      </w:tr>
      <w:tr>
        <w:tblPrEx>
          <w:tblCellMar>
            <w:top w:w="0" w:type="dxa"/>
            <w:left w:w="0" w:type="dxa"/>
            <w:bottom w:w="0" w:type="dxa"/>
            <w:right w:w="0" w:type="dxa"/>
          </w:tblCellMar>
        </w:tblPrEx>
        <w:trPr>
          <w:gridAfter w:val="4"/>
          <w:wAfter w:w="47" w:type="dxa"/>
          <w:trHeight w:val="1358"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2.开展社会性大型健康日活动，扩大传播慢性病防治和慢性病健康素养知识和技能的范围。（2分）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辖区每年至少开展4次健康主题日大型宣传活动，应包括肿瘤宣传周、全国高血压日、世界糖尿病日、全民健康生活方式日、爱牙日等，2分。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各级医疗卫生机构</w:t>
            </w:r>
          </w:p>
        </w:tc>
        <w:tc>
          <w:tcPr>
            <w:tcW w:w="4048"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查阅活动方案、现场照片、总结等资料。（市疾控中心、健教所、各医疗机构提供各自的活动方案、现场照片、总结等资料）。</w:t>
            </w:r>
          </w:p>
        </w:tc>
        <w:tc>
          <w:tcPr>
            <w:tcW w:w="1935" w:type="dxa"/>
            <w:vMerge w:val="continue"/>
            <w:tcBorders>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p>
        </w:tc>
      </w:tr>
      <w:tr>
        <w:tblPrEx>
          <w:tblCellMar>
            <w:top w:w="0" w:type="dxa"/>
            <w:left w:w="0" w:type="dxa"/>
            <w:bottom w:w="0" w:type="dxa"/>
            <w:right w:w="0" w:type="dxa"/>
          </w:tblCellMar>
        </w:tblPrEx>
        <w:trPr>
          <w:gridAfter w:val="4"/>
          <w:wAfter w:w="47" w:type="dxa"/>
          <w:trHeight w:val="569"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大型活动是指参与人数超过300人(含分会场)。</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4048"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p>
        </w:tc>
        <w:tc>
          <w:tcPr>
            <w:tcW w:w="1935"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p>
        </w:tc>
      </w:tr>
      <w:tr>
        <w:tblPrEx>
          <w:tblCellMar>
            <w:top w:w="0" w:type="dxa"/>
            <w:left w:w="0" w:type="dxa"/>
            <w:bottom w:w="0" w:type="dxa"/>
            <w:right w:w="0" w:type="dxa"/>
          </w:tblCellMar>
        </w:tblPrEx>
        <w:trPr>
          <w:gridAfter w:val="4"/>
          <w:wAfter w:w="47" w:type="dxa"/>
          <w:trHeight w:val="63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3.各社区设有健康教育宣传阵地，向居民普及慢性病防控的知识与技能。（3分）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（1）健康教育活动室在当地社区的覆盖率达100%，1分。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市</w:t>
            </w:r>
            <w:r>
              <w:rPr>
                <w:rFonts w:hint="eastAsia" w:ascii="仿宋_GB2312" w:hAnsi="仿宋_GB2312" w:eastAsia="仿宋_GB2312" w:cs="仿宋_GB2312"/>
                <w:color w:val="auto"/>
                <w:sz w:val="24"/>
              </w:rPr>
              <w:t>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各镇街</w:t>
            </w:r>
          </w:p>
        </w:tc>
        <w:tc>
          <w:tcPr>
            <w:tcW w:w="4048"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lang w:val="en-US" w:eastAsia="zh-CN"/>
              </w:rPr>
              <w:t>1.</w:t>
            </w:r>
            <w:r>
              <w:rPr>
                <w:rFonts w:hint="eastAsia" w:ascii="仿宋_GB2312" w:hAnsi="仿宋_GB2312" w:eastAsia="仿宋_GB2312" w:cs="仿宋_GB2312"/>
                <w:color w:val="auto"/>
                <w:sz w:val="24"/>
                <w:szCs w:val="24"/>
              </w:rPr>
              <w:t>各镇街报送健康教育活动室社区情况汇总、覆盖率说明、健康教育活动室照片；</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2.健康宣传栏社区情况汇总及覆盖率说明；</w:t>
            </w:r>
          </w:p>
          <w:p>
            <w:pPr>
              <w:keepNext w:val="0"/>
              <w:keepLines w:val="0"/>
              <w:pageBreakBefore w:val="0"/>
              <w:widowControl w:val="0"/>
              <w:numPr>
                <w:ilvl w:val="0"/>
                <w:numId w:val="9"/>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社区宣传栏照片；</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4.社区健康讲座开展情况汇总及计划。</w:t>
            </w:r>
          </w:p>
        </w:tc>
        <w:tc>
          <w:tcPr>
            <w:tcW w:w="1935"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查阅资料、现场评估。查阅活动室、健康讲座与社区宣传栏的计划或分布表；抽取2个点现场观察实际执行情况。社区指村/居委会。</w:t>
            </w:r>
          </w:p>
        </w:tc>
      </w:tr>
      <w:tr>
        <w:tblPrEx>
          <w:tblCellMar>
            <w:top w:w="0" w:type="dxa"/>
            <w:left w:w="0" w:type="dxa"/>
            <w:bottom w:w="0" w:type="dxa"/>
            <w:right w:w="0" w:type="dxa"/>
          </w:tblCellMar>
        </w:tblPrEx>
        <w:trPr>
          <w:gridAfter w:val="4"/>
          <w:wAfter w:w="47" w:type="dxa"/>
          <w:trHeight w:val="832"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（2）健康宣传栏社区覆盖率≥90%，内容至少2个月更新1次，1分。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4048"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p>
        </w:tc>
        <w:tc>
          <w:tcPr>
            <w:tcW w:w="193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p>
        </w:tc>
      </w:tr>
      <w:tr>
        <w:tblPrEx>
          <w:tblCellMar>
            <w:top w:w="0" w:type="dxa"/>
            <w:left w:w="0" w:type="dxa"/>
            <w:bottom w:w="0" w:type="dxa"/>
            <w:right w:w="0" w:type="dxa"/>
          </w:tblCellMar>
        </w:tblPrEx>
        <w:trPr>
          <w:gridAfter w:val="4"/>
          <w:wAfter w:w="47" w:type="dxa"/>
          <w:trHeight w:val="863"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66"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62"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（3）社区健康讲座每年≥4次，每次不少于50人，1分。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4048"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szCs w:val="24"/>
              </w:rPr>
            </w:pPr>
          </w:p>
        </w:tc>
        <w:tc>
          <w:tcPr>
            <w:tcW w:w="1935"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textAlignment w:val="auto"/>
              <w:rPr>
                <w:rFonts w:ascii="仿宋_GB2312" w:hAnsi="仿宋_GB2312" w:eastAsia="仿宋_GB2312" w:cs="仿宋_GB2312"/>
                <w:color w:val="auto"/>
                <w:sz w:val="24"/>
              </w:rPr>
            </w:pPr>
          </w:p>
        </w:tc>
      </w:tr>
      <w:tr>
        <w:tblPrEx>
          <w:tblCellMar>
            <w:top w:w="0" w:type="dxa"/>
            <w:left w:w="0" w:type="dxa"/>
            <w:bottom w:w="0" w:type="dxa"/>
            <w:right w:w="0" w:type="dxa"/>
          </w:tblCellMar>
        </w:tblPrEx>
        <w:trPr>
          <w:trHeight w:val="1521"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snapToGrid w:val="0"/>
                <w:color w:val="auto"/>
                <w:kern w:val="0"/>
                <w:sz w:val="24"/>
                <w:szCs w:val="24"/>
              </w:rPr>
            </w:pPr>
            <w:r>
              <w:rPr>
                <w:rFonts w:hint="eastAsia" w:ascii="黑体" w:hAnsi="黑体" w:eastAsia="黑体" w:cs="黑体"/>
                <w:b w:val="0"/>
                <w:bCs w:val="0"/>
                <w:color w:val="auto"/>
                <w:sz w:val="24"/>
                <w:szCs w:val="24"/>
              </w:rPr>
              <w:t>四</w:t>
            </w:r>
            <w:r>
              <w:rPr>
                <w:rFonts w:hint="eastAsia" w:ascii="黑体" w:hAnsi="黑体" w:eastAsia="黑体" w:cs="黑体"/>
                <w:b w:val="0"/>
                <w:bCs w:val="0"/>
                <w:snapToGrid w:val="0"/>
                <w:color w:val="auto"/>
                <w:kern w:val="0"/>
                <w:sz w:val="24"/>
                <w:szCs w:val="24"/>
              </w:rPr>
              <w:t>、健康教育与健康促进（28分）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（一）通过多种渠道积极开展慢性病防治全民健康教育。（10分）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9"/>
              </w:numPr>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开展幼儿园、中小学校健康行为方式教育。（3分）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（1）幼儿园、中小学校开设健康教育课覆盖率达100%，1分。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0"/>
              </w:numPr>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关于要求幼儿园、中小学必须开设健康教育课且课程必须大于等于6学时的政策性文件；</w:t>
            </w:r>
          </w:p>
          <w:p>
            <w:pPr>
              <w:keepNext w:val="0"/>
              <w:keepLines w:val="0"/>
              <w:pageBreakBefore w:val="0"/>
              <w:widowControl w:val="0"/>
              <w:numPr>
                <w:ilvl w:val="0"/>
                <w:numId w:val="10"/>
              </w:numPr>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全市所有幼儿园、中小学名单，全市开设健康教育课的幼儿园、中小学名单，统计出覆盖率（必须达到100%），制作统计表；</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4.小学开设健康教育课名单、课时汇总及覆盖率说明；</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5.幼儿园开设健康教育课名单、课时汇总及覆盖率说明；</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6.</w:t>
            </w:r>
            <w:r>
              <w:rPr>
                <w:rFonts w:hint="eastAsia" w:ascii="仿宋_GB2312" w:hAnsi="仿宋_GB2312" w:eastAsia="仿宋_GB2312" w:cs="仿宋_GB2312"/>
                <w:color w:val="auto"/>
                <w:kern w:val="0"/>
                <w:sz w:val="24"/>
              </w:rPr>
              <w:t>提供部分学校的健康教育课整套资料，如健康教育课程表、健康教育课内容、教案、教材等。</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查阅资料、现场评估。查阅教育计划；查阅即课程表、教材与教参，抽取1个点现场观察实际执行情况。</w:t>
            </w:r>
          </w:p>
        </w:tc>
      </w:tr>
      <w:tr>
        <w:tblPrEx>
          <w:tblCellMar>
            <w:top w:w="0" w:type="dxa"/>
            <w:left w:w="0" w:type="dxa"/>
            <w:bottom w:w="0" w:type="dxa"/>
            <w:right w:w="0" w:type="dxa"/>
          </w:tblCellMar>
        </w:tblPrEx>
        <w:trPr>
          <w:trHeight w:val="174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（2）健康教育课包括营养均衡、口腔保健、健康体重、视力保护等内容，每学期以班级为单位，课程≥6学时，2分；低于6学时不得分。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944"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（二）提高居民重点慢性病核心知识知晓率和居民健康素养水平。（10分）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1.提高居民重点慢性病核心知识知晓率。（6分）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居民重点慢性病核心知识知晓率≥60%，6分；50-60%，4分；低于50%不得分。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市疾控中心</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市疾控中心提供相关调查报告。</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查阅社会因素调查报告和居民健康素养调查报告</w:t>
            </w:r>
          </w:p>
        </w:tc>
      </w:tr>
      <w:tr>
        <w:tblPrEx>
          <w:tblCellMar>
            <w:top w:w="0" w:type="dxa"/>
            <w:left w:w="0" w:type="dxa"/>
            <w:bottom w:w="0" w:type="dxa"/>
            <w:right w:w="0" w:type="dxa"/>
          </w:tblCellMar>
        </w:tblPrEx>
        <w:trPr>
          <w:trHeight w:val="87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2.提高居民健康素养水平。（4分）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居民健康素养水平达到20%，4分；10-20%，3分；10%以下不得分。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822"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1"/>
              </w:numPr>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发挥社会团体和群众组织在慢性病防控中的积极作用。（8分）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1.辖区开展群众性健身运动。（2分）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（1）有5个及以上的群众健身团体，1分。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市体育发展服务中心</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2"/>
              </w:numPr>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健身团体汇总列表，要包括团体名称、地址、负责人、联系电话、人数、主要开展活动项目、配备的健康指导员和志愿者等基本信息；</w:t>
            </w:r>
          </w:p>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2.配备健康指导员和志愿者情况汇总说明。</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548"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（2）配有健康指导员和志愿者，1分。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1244"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2.每年至少开展1次多部门组织的集体性健身活动。（2分）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定期开展政府支持、企事业单位承担参与并积极支持的健身活动，每年≥1次，2分；未开展不得分。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教体局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提供1次以上由政府支持、企事业单位承担的多部门参与健身活动的计划、方案、简报、图片、总结等资料</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575" w:hRule="atLeast"/>
        </w:trPr>
        <w:tc>
          <w:tcPr>
            <w:tcW w:w="910"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四、健康教育与健康促进（28分）</w:t>
            </w:r>
          </w:p>
        </w:tc>
        <w:tc>
          <w:tcPr>
            <w:tcW w:w="13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楷体_GB2312" w:hAnsi="楷体_GB2312" w:eastAsia="楷体_GB2312" w:cs="楷体_GB2312"/>
                <w:b w:val="0"/>
                <w:bCs w:val="0"/>
                <w:color w:val="auto"/>
                <w:sz w:val="24"/>
                <w:lang w:eastAsia="zh-CN"/>
              </w:rPr>
            </w:pPr>
            <w:r>
              <w:rPr>
                <w:rFonts w:hint="eastAsia" w:ascii="楷体_GB2312" w:hAnsi="楷体_GB2312" w:eastAsia="楷体_GB2312" w:cs="楷体_GB2312"/>
                <w:b w:val="0"/>
                <w:bCs w:val="0"/>
                <w:color w:val="auto"/>
                <w:sz w:val="24"/>
                <w:lang w:val="en-US" w:eastAsia="zh-CN"/>
              </w:rPr>
              <w:t>(三）</w:t>
            </w:r>
            <w:r>
              <w:rPr>
                <w:rFonts w:hint="eastAsia" w:ascii="楷体_GB2312" w:hAnsi="楷体_GB2312" w:eastAsia="楷体_GB2312" w:cs="楷体_GB2312"/>
                <w:b w:val="0"/>
                <w:bCs w:val="0"/>
                <w:color w:val="auto"/>
                <w:sz w:val="24"/>
              </w:rPr>
              <w:t>发挥社会团体和群众组织在慢性病防控中的积极作用。（8分</w:t>
            </w:r>
            <w:r>
              <w:rPr>
                <w:rFonts w:hint="eastAsia" w:ascii="楷体_GB2312" w:hAnsi="楷体_GB2312" w:eastAsia="楷体_GB2312" w:cs="楷体_GB2312"/>
                <w:b w:val="0"/>
                <w:bCs w:val="0"/>
                <w:color w:val="auto"/>
                <w:sz w:val="24"/>
                <w:lang w:eastAsia="zh-CN"/>
              </w:rPr>
              <w:t>）</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3.鼓励社区慢性病患者积极参与社区自我健康管理活动。（4分）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kern w:val="0"/>
                <w:sz w:val="24"/>
              </w:rPr>
              <w:t>有自我健康管理小组的社区覆盖率达到50%，4分；40-50%，2分；40%以下不得分。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各镇街</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各镇街卫生院提供慢病患者自我管理小组数量、名单汇总及各小组相关活动资料。</w:t>
            </w:r>
            <w:r>
              <w:rPr>
                <w:rFonts w:hint="eastAsia" w:ascii="仿宋_GB2312" w:hAnsi="仿宋_GB2312" w:eastAsia="仿宋_GB2312" w:cs="仿宋_GB2312"/>
                <w:color w:val="auto"/>
                <w:kern w:val="0"/>
                <w:sz w:val="24"/>
              </w:rPr>
              <w:t>每个镇街一半以上的社区建立慢性病患者自我管理小组，并每年开展6次活动（街镇与社区配合完成）</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250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（一）规范健康体检，开展高危人群筛查与干预，加强癌症、心脑血管疾病等重大慢性病的早期发现与管理。（20分）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1.开展学生、老年人等重点人群和职工定期健康体检和健康指导。（7分）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(1)学生健康体检率≥90%，2分；80-90%，1分；80%以下不得分。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1.现行和新出台的关于要求学生开展健康体检的政策性文件；2.市教育体育局和市疾控中心共同汇总每个学校学生总数、体检人数、全市学生总数、体检人数，计算体检率；3.每年度学生体检报告。</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查阅教育部门统计数据和基本公共卫生服务项目报告、统计数据等</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35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(2)65岁及以上老年人健康体检率≥90%，2分；80-90%，1分；80%以下不得分。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镇街卫生院</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pacing w:val="-6"/>
                <w:kern w:val="0"/>
                <w:sz w:val="24"/>
              </w:rPr>
            </w:pPr>
            <w:r>
              <w:rPr>
                <w:rFonts w:hint="eastAsia" w:ascii="仿宋_GB2312" w:hAnsi="仿宋_GB2312" w:eastAsia="仿宋_GB2312" w:cs="仿宋_GB2312"/>
                <w:color w:val="auto"/>
                <w:spacing w:val="-6"/>
                <w:kern w:val="0"/>
                <w:sz w:val="24"/>
                <w:lang w:val="en-US" w:eastAsia="zh-CN"/>
              </w:rPr>
              <w:t>1.</w:t>
            </w:r>
            <w:r>
              <w:rPr>
                <w:rFonts w:hint="eastAsia" w:ascii="仿宋_GB2312" w:hAnsi="仿宋_GB2312" w:eastAsia="仿宋_GB2312" w:cs="仿宋_GB2312"/>
                <w:color w:val="auto"/>
                <w:spacing w:val="-6"/>
                <w:kern w:val="0"/>
                <w:sz w:val="24"/>
              </w:rPr>
              <w:t>每年度基本公共卫生服务年度报表；</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每年度老年人体检报告</w:t>
            </w:r>
            <w:r>
              <w:rPr>
                <w:rFonts w:hint="eastAsia" w:ascii="仿宋_GB2312" w:hAnsi="仿宋_GB2312" w:eastAsia="仿宋_GB2312" w:cs="仿宋_GB2312"/>
                <w:color w:val="auto"/>
                <w:kern w:val="0"/>
                <w:sz w:val="24"/>
                <w:lang w:eastAsia="zh-CN"/>
              </w:rPr>
              <w:t>。</w:t>
            </w:r>
          </w:p>
        </w:tc>
        <w:tc>
          <w:tcPr>
            <w:tcW w:w="2040" w:type="dxa"/>
            <w:gridSpan w:val="3"/>
            <w:vMerge w:val="continue"/>
            <w:tcBorders>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21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（3）每2年1次体检并开展健康指导的机关事业单位和员工数超过50人的企业的覆盖率≥50%，3分；40-50%，2分；40%以下不得分。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各机关企事业单位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kern w:val="0"/>
                <w:sz w:val="24"/>
                <w:lang w:eastAsia="zh-CN"/>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机关事业单位、企业（员工超50人）清单、体检通知、照片、</w:t>
            </w:r>
            <w:r>
              <w:rPr>
                <w:rFonts w:hint="eastAsia" w:ascii="仿宋_GB2312" w:hAnsi="仿宋_GB2312" w:eastAsia="仿宋_GB2312" w:cs="仿宋_GB2312"/>
                <w:color w:val="auto"/>
                <w:kern w:val="0"/>
                <w:sz w:val="24"/>
              </w:rPr>
              <w:t>档案等佐证材料</w:t>
            </w:r>
            <w:r>
              <w:rPr>
                <w:rFonts w:hint="eastAsia" w:ascii="仿宋_GB2312" w:hAnsi="仿宋_GB2312" w:eastAsia="仿宋_GB2312" w:cs="仿宋_GB2312"/>
                <w:color w:val="auto"/>
                <w:kern w:val="0"/>
                <w:sz w:val="24"/>
                <w:lang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lang w:val="en-US" w:eastAsia="zh-CN"/>
              </w:rPr>
              <w:t>2.</w:t>
            </w:r>
            <w:r>
              <w:rPr>
                <w:rFonts w:hint="eastAsia" w:ascii="仿宋_GB2312" w:hAnsi="仿宋_GB2312" w:eastAsia="仿宋_GB2312" w:cs="仿宋_GB2312"/>
                <w:color w:val="auto"/>
                <w:sz w:val="24"/>
              </w:rPr>
              <w:t>情况汇总和覆盖率说明。</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计算覆盖率</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44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（一）规范健康体检，开展高危人群筛查与干预，加强癌症、心脑血管疾病等重大慢性病的早期发现与管理。（20分）</w:t>
            </w:r>
          </w:p>
        </w:tc>
        <w:tc>
          <w:tcPr>
            <w:tcW w:w="2157"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2.应用推广成熟的适宜技术，早期发现诊治患者，及时纳入基本公共卫生服务管理。（13分）</w:t>
            </w:r>
          </w:p>
        </w:tc>
        <w:tc>
          <w:tcPr>
            <w:tcW w:w="30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（2）开展心脑血管疾病、重点癌症、糖尿病、慢性阻塞性肺病等重大慢性病的筛查和早期诊断，每1项1分，满分4分。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通知文件、方案、筛查名册、结果统计、年度工作总结。</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202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（3）具备血糖、血脂、简易肺功能测定和大便隐血检测等4种技术并提供服务的社区卫生服务中心和乡镇卫生院的覆盖率≥50%，3分；40-50%，1分；低于40%不得分。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eastAsia="zh-CN"/>
              </w:rPr>
              <w:t>各镇街卫生院</w:t>
            </w:r>
            <w:r>
              <w:rPr>
                <w:rFonts w:hint="eastAsia" w:ascii="仿宋_GB2312" w:hAnsi="仿宋_GB2312" w:eastAsia="仿宋_GB2312" w:cs="仿宋_GB2312"/>
                <w:color w:val="auto"/>
                <w:sz w:val="24"/>
              </w:rPr>
              <w:t>提供各自四种技术服务情况说明。（包括机构名单、是否够开展、开展的技术力量、仪器设备、年度服务数量。</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查阅资料；现场调查</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14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（4）提高加强个人健康档案与健康体检信息的利用，发现高危人群登记率100%，2分；高危人群纳入健康管理率≥30%，2分。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高危人群筛查登记名册、纳入健康管理名册。</w:t>
            </w:r>
          </w:p>
        </w:tc>
        <w:tc>
          <w:tcPr>
            <w:tcW w:w="2040" w:type="dxa"/>
            <w:gridSpan w:val="3"/>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现场调查</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gridAfter w:val="3"/>
          <w:wAfter w:w="30" w:type="dxa"/>
          <w:trHeight w:val="55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3"/>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建立分级诊疗制度，推进家庭医生签约服务，开展高血压、糖尿病等重点慢性病规范化管理。（25分）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1.开展基层首诊、双向转诊、急慢分治、上下联动的慢性病分级诊疗服务。（7分）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（1）建立分级诊疗制度，2分。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全市的相关文件、方案、制度。</w:t>
            </w:r>
          </w:p>
        </w:tc>
        <w:tc>
          <w:tcPr>
            <w:tcW w:w="2040" w:type="dxa"/>
            <w:gridSpan w:val="3"/>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现场调查</w:t>
            </w:r>
          </w:p>
        </w:tc>
      </w:tr>
      <w:tr>
        <w:tblPrEx>
          <w:tblCellMar>
            <w:top w:w="0" w:type="dxa"/>
            <w:left w:w="0" w:type="dxa"/>
            <w:bottom w:w="0" w:type="dxa"/>
            <w:right w:w="0" w:type="dxa"/>
          </w:tblCellMar>
        </w:tblPrEx>
        <w:trPr>
          <w:gridAfter w:val="3"/>
          <w:wAfter w:w="30" w:type="dxa"/>
          <w:trHeight w:val="79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（2）落实并开展高血压与糖尿病基层首诊、双向转诊、急慢分治、上下联动的分级诊疗服务，3分。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落实并开展高血压与糖尿病基层首诊、双向转诊、急慢分治、上下联动的分级诊疗服务的佐证资料(全市落实情况总结、上下转诊的部分转诊单、照片等）</w:t>
            </w:r>
          </w:p>
        </w:tc>
        <w:tc>
          <w:tcPr>
            <w:tcW w:w="2040" w:type="dxa"/>
            <w:gridSpan w:val="3"/>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3"/>
          <w:wAfter w:w="30" w:type="dxa"/>
          <w:trHeight w:val="92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（3）依托信息平台实现分级诊疗，2分。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体</w:t>
            </w:r>
            <w:r>
              <w:rPr>
                <w:rFonts w:hint="eastAsia" w:ascii="仿宋_GB2312" w:hAnsi="仿宋_GB2312" w:eastAsia="仿宋_GB2312" w:cs="仿宋_GB2312"/>
                <w:color w:val="auto"/>
                <w:kern w:val="0"/>
                <w:sz w:val="24"/>
                <w:lang w:eastAsia="zh-CN"/>
              </w:rPr>
              <w:t>现</w:t>
            </w:r>
            <w:r>
              <w:rPr>
                <w:rFonts w:hint="eastAsia" w:ascii="仿宋_GB2312" w:hAnsi="仿宋_GB2312" w:eastAsia="仿宋_GB2312" w:cs="仿宋_GB2312"/>
                <w:color w:val="auto"/>
                <w:kern w:val="0"/>
                <w:sz w:val="24"/>
              </w:rPr>
              <w:t>依托信息平台实现分级诊疗的佐证资料</w:t>
            </w:r>
          </w:p>
        </w:tc>
        <w:tc>
          <w:tcPr>
            <w:tcW w:w="2040" w:type="dxa"/>
            <w:gridSpan w:val="3"/>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1430"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（二）建立分级诊疗制度，推进家庭医生签约服务，开展高血压、糖尿病等重点慢性病规范化管理。（25分）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2.推进家庭医生签约服务，签约团队负责提供约定的基本医疗、公共卫生和健康管理服务。（6分）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家庭医生签约服务覆盖率≥98%，6分；低于98%不得分。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各</w:t>
            </w:r>
            <w:r>
              <w:rPr>
                <w:rFonts w:hint="eastAsia" w:ascii="仿宋_GB2312" w:hAnsi="仿宋_GB2312" w:eastAsia="仿宋_GB2312" w:cs="仿宋_GB2312"/>
                <w:color w:val="auto"/>
                <w:sz w:val="24"/>
                <w:lang w:eastAsia="zh-CN"/>
              </w:rPr>
              <w:t>镇街卫生院</w:t>
            </w:r>
            <w:r>
              <w:rPr>
                <w:rFonts w:hint="eastAsia" w:ascii="仿宋_GB2312" w:hAnsi="仿宋_GB2312" w:eastAsia="仿宋_GB2312" w:cs="仿宋_GB2312"/>
                <w:color w:val="auto"/>
                <w:kern w:val="0"/>
                <w:sz w:val="24"/>
              </w:rPr>
              <w:t>提供家庭医生签约签约合同、问卷调查、报表、总结等相关工作资料及覆盖率数据相关资料。</w:t>
            </w: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sz w:val="24"/>
              </w:rPr>
              <w:t>全市</w:t>
            </w:r>
            <w:r>
              <w:rPr>
                <w:rFonts w:hint="eastAsia" w:ascii="仿宋_GB2312" w:hAnsi="仿宋_GB2312" w:eastAsia="仿宋_GB2312" w:cs="仿宋_GB2312"/>
                <w:color w:val="auto"/>
                <w:kern w:val="0"/>
                <w:sz w:val="24"/>
              </w:rPr>
              <w:t>文件、方案、总结、半年、年度考核结果。</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查阅省级统计数据。查阅家庭医生签约服记录。</w:t>
            </w:r>
          </w:p>
        </w:tc>
      </w:tr>
      <w:tr>
        <w:tblPrEx>
          <w:tblCellMar>
            <w:top w:w="0" w:type="dxa"/>
            <w:left w:w="0" w:type="dxa"/>
            <w:bottom w:w="0" w:type="dxa"/>
            <w:right w:w="0" w:type="dxa"/>
          </w:tblCellMar>
        </w:tblPrEx>
        <w:trPr>
          <w:gridAfter w:val="2"/>
          <w:wAfter w:w="15" w:type="dxa"/>
          <w:trHeight w:val="56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3.提高18岁以上人群高血压、糖尿病知晓率。（4分）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（1）18岁以上高血压知晓率≥60%，2分；40-60%，1分；低于40%不得分。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市疾控中心提供问卷调查、统计报表、调查报告等。</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查阅流行病学调查或监测报告数据。</w:t>
            </w:r>
          </w:p>
        </w:tc>
      </w:tr>
      <w:tr>
        <w:tblPrEx>
          <w:tblCellMar>
            <w:top w:w="0" w:type="dxa"/>
            <w:left w:w="0" w:type="dxa"/>
            <w:bottom w:w="0" w:type="dxa"/>
            <w:right w:w="0" w:type="dxa"/>
          </w:tblCellMar>
        </w:tblPrEx>
        <w:trPr>
          <w:gridAfter w:val="2"/>
          <w:wAfter w:w="15" w:type="dxa"/>
          <w:trHeight w:val="36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（2）18岁以上糖尿病知晓率≥50%，2分；30-50％，1分；低于30%不得分。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市疾控中心提供问卷调查、统计报表、调查报告等。</w:t>
            </w: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101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4.提高35岁以上人群高血压、糖尿病患者管理率。（4分）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（1）35岁以上高血压患者管理率高于全省平均水平5%，2分；高于3-5%，1分；低于3%不得分。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市疾控中心提供年度统计报表、总结报告等。</w:t>
            </w:r>
          </w:p>
        </w:tc>
        <w:tc>
          <w:tcPr>
            <w:tcW w:w="2055" w:type="dxa"/>
            <w:gridSpan w:val="4"/>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查阅国家基本公共卫生服务项目数据。</w:t>
            </w:r>
          </w:p>
        </w:tc>
      </w:tr>
      <w:tr>
        <w:tblPrEx>
          <w:tblCellMar>
            <w:top w:w="0" w:type="dxa"/>
            <w:left w:w="0" w:type="dxa"/>
            <w:bottom w:w="0" w:type="dxa"/>
            <w:right w:w="0" w:type="dxa"/>
          </w:tblCellMar>
        </w:tblPrEx>
        <w:trPr>
          <w:gridAfter w:val="2"/>
          <w:wAfter w:w="15" w:type="dxa"/>
          <w:trHeight w:val="61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（2）35岁以上糖尿病患者管理率高于全省平均水平5%，2分；高于3-5%，1分；低于3%不得分。</w:t>
            </w:r>
          </w:p>
        </w:tc>
        <w:tc>
          <w:tcPr>
            <w:tcW w:w="123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市疾控中心提供年度统计报表、总结报告等。</w:t>
            </w:r>
          </w:p>
        </w:tc>
        <w:tc>
          <w:tcPr>
            <w:tcW w:w="2055" w:type="dxa"/>
            <w:gridSpan w:val="4"/>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68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5.提高管理人群高血压、糖尿病患者的控制率。（4分）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（1）高血压患者血压控制率高于全省平均水平5%，2分；高于3-5%，1分；低于3%不得分。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市疾控中心提供年度统计报表、总结报告等。</w:t>
            </w:r>
          </w:p>
        </w:tc>
        <w:tc>
          <w:tcPr>
            <w:tcW w:w="2055" w:type="dxa"/>
            <w:gridSpan w:val="4"/>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查阅国家基本公共卫生服务项目数据。</w:t>
            </w:r>
          </w:p>
        </w:tc>
      </w:tr>
      <w:tr>
        <w:tblPrEx>
          <w:tblCellMar>
            <w:top w:w="0" w:type="dxa"/>
            <w:left w:w="0" w:type="dxa"/>
            <w:bottom w:w="0" w:type="dxa"/>
            <w:right w:w="0" w:type="dxa"/>
          </w:tblCellMar>
        </w:tblPrEx>
        <w:trPr>
          <w:gridAfter w:val="2"/>
          <w:wAfter w:w="15" w:type="dxa"/>
          <w:trHeight w:val="6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（2）糖尿病患者血糖控制率高于全省平均水平5%，2分；高于3-5%，1分；低于3%不得分。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市疾控中心提供年度统计报表、总结报告等。</w:t>
            </w:r>
          </w:p>
        </w:tc>
        <w:tc>
          <w:tcPr>
            <w:tcW w:w="2055" w:type="dxa"/>
            <w:gridSpan w:val="4"/>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1090"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（三）在重点人群中开展口腔疾病防治。（6分）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1.实施儿童窝沟封闭，社区协同开展健康口腔活动。（3分）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pacing w:val="-6"/>
                <w:kern w:val="0"/>
                <w:sz w:val="24"/>
              </w:rPr>
              <w:t>辖区内实施儿童窝沟封闭学校比例≥60%</w:t>
            </w:r>
            <w:r>
              <w:rPr>
                <w:rFonts w:hint="eastAsia" w:ascii="仿宋_GB2312" w:hAnsi="仿宋_GB2312" w:eastAsia="仿宋_GB2312" w:cs="仿宋_GB2312"/>
                <w:color w:val="auto"/>
                <w:spacing w:val="-6"/>
                <w:kern w:val="0"/>
                <w:sz w:val="24"/>
                <w:lang w:eastAsia="zh-CN"/>
              </w:rPr>
              <w:t>，</w:t>
            </w:r>
            <w:r>
              <w:rPr>
                <w:rFonts w:hint="eastAsia" w:ascii="仿宋_GB2312" w:hAnsi="仿宋_GB2312" w:eastAsia="仿宋_GB2312" w:cs="仿宋_GB2312"/>
                <w:color w:val="auto"/>
                <w:spacing w:val="-6"/>
                <w:kern w:val="0"/>
                <w:sz w:val="24"/>
              </w:rPr>
              <w:t>2分；50-60%</w:t>
            </w:r>
            <w:r>
              <w:rPr>
                <w:rFonts w:hint="eastAsia" w:ascii="仿宋_GB2312" w:hAnsi="仿宋_GB2312" w:eastAsia="仿宋_GB2312" w:cs="仿宋_GB2312"/>
                <w:color w:val="auto"/>
                <w:spacing w:val="-6"/>
                <w:kern w:val="0"/>
                <w:sz w:val="24"/>
                <w:lang w:eastAsia="zh-CN"/>
              </w:rPr>
              <w:t>，</w:t>
            </w:r>
            <w:r>
              <w:rPr>
                <w:rFonts w:hint="eastAsia" w:ascii="仿宋_GB2312" w:hAnsi="仿宋_GB2312" w:eastAsia="仿宋_GB2312" w:cs="仿宋_GB2312"/>
                <w:color w:val="auto"/>
                <w:spacing w:val="-6"/>
                <w:kern w:val="0"/>
                <w:sz w:val="24"/>
              </w:rPr>
              <w:t>1分；低于50%不得分。</w:t>
            </w:r>
          </w:p>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（2）镇街卫生院协同开展健康口腔活动，1分。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市教体局</w:t>
            </w:r>
          </w:p>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sz w:val="24"/>
                <w:lang w:val="en-US" w:eastAsia="zh-CN"/>
              </w:rPr>
              <w:t>1.</w:t>
            </w:r>
            <w:r>
              <w:rPr>
                <w:rFonts w:hint="eastAsia" w:ascii="仿宋_GB2312" w:hAnsi="仿宋_GB2312" w:eastAsia="仿宋_GB2312" w:cs="仿宋_GB2312"/>
                <w:color w:val="auto"/>
                <w:sz w:val="24"/>
              </w:rPr>
              <w:t>全市中小学、幼儿园清单；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全市开展儿童窝沟封闭的学校名单（各级各类医疗机构开展的都计算在内），统计出</w:t>
            </w:r>
            <w:r>
              <w:rPr>
                <w:rFonts w:hint="eastAsia" w:ascii="仿宋_GB2312" w:hAnsi="仿宋_GB2312" w:eastAsia="仿宋_GB2312" w:cs="仿宋_GB2312"/>
                <w:color w:val="auto"/>
                <w:sz w:val="24"/>
              </w:rPr>
              <w:t>学校</w:t>
            </w:r>
            <w:r>
              <w:rPr>
                <w:rFonts w:hint="eastAsia" w:ascii="仿宋_GB2312" w:hAnsi="仿宋_GB2312" w:eastAsia="仿宋_GB2312" w:cs="仿宋_GB2312"/>
                <w:color w:val="auto"/>
                <w:kern w:val="0"/>
                <w:sz w:val="24"/>
              </w:rPr>
              <w:t>比例（必须大于等于60%）。实施儿童窝沟封闭的佐证资料，如方案、总结等；</w:t>
            </w:r>
          </w:p>
          <w:p>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val="en-US" w:eastAsia="zh-CN"/>
              </w:rPr>
              <w:t>3.</w:t>
            </w:r>
            <w:r>
              <w:rPr>
                <w:rFonts w:hint="eastAsia" w:ascii="仿宋_GB2312" w:hAnsi="仿宋_GB2312" w:eastAsia="仿宋_GB2312" w:cs="仿宋_GB2312"/>
                <w:color w:val="auto"/>
                <w:sz w:val="24"/>
              </w:rPr>
              <w:t>12岁儿童体检中龋患率有关资料。</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w:t>
            </w:r>
          </w:p>
        </w:tc>
      </w:tr>
      <w:tr>
        <w:tblPrEx>
          <w:tblCellMar>
            <w:top w:w="0" w:type="dxa"/>
            <w:left w:w="0" w:type="dxa"/>
            <w:bottom w:w="0" w:type="dxa"/>
            <w:right w:w="0" w:type="dxa"/>
          </w:tblCellMar>
        </w:tblPrEx>
        <w:trPr>
          <w:trHeight w:val="6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2.控制12岁儿童患龋率。（3分）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辖区12岁儿童患龋率低于25%，3分；不达标不得分。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7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（四）完善区域信息平台，实现医疗卫生机构间互联互通、信息共享。（15分）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1.建立区域卫生信息平台，实现公共卫生服务、诊疗信息互联互通。（10分）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（1）建立区域卫生信息平台，4分。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全市信息化工作总结、部分典型互通截图、电子档案与电子比例截图总结</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w:t>
            </w:r>
          </w:p>
        </w:tc>
      </w:tr>
      <w:tr>
        <w:tblPrEx>
          <w:tblCellMar>
            <w:top w:w="0" w:type="dxa"/>
            <w:left w:w="0" w:type="dxa"/>
            <w:bottom w:w="0" w:type="dxa"/>
            <w:right w:w="0" w:type="dxa"/>
          </w:tblCellMar>
        </w:tblPrEx>
        <w:trPr>
          <w:trHeight w:val="11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（2）专业公共卫生机构、二级及以上医院和基层医疗卫生机构之间实现互联互通和信息共享，3分。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8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（3）实现电子健康档案和电子病历的连续记录和信息共享，3分。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120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2.应用互联网+、健康大数据提供便捷、高效的健康管理服务。（5分）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应用互联网+、健康大数据为签约服务的患者提供健康管理和诊疗服务，5分。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应用互联网+、健康大数据为签约服务的患者提供健康管理和诊疗服务工作说明或总结、截图等佐证。</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查阅资料，现场评估。</w:t>
            </w:r>
          </w:p>
        </w:tc>
      </w:tr>
      <w:tr>
        <w:tblPrEx>
          <w:tblCellMar>
            <w:top w:w="0" w:type="dxa"/>
            <w:left w:w="0" w:type="dxa"/>
            <w:bottom w:w="0" w:type="dxa"/>
            <w:right w:w="0" w:type="dxa"/>
          </w:tblCellMar>
        </w:tblPrEx>
        <w:trPr>
          <w:trHeight w:val="228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（五）中西医并重，发挥中医药在慢性病预防、保健、诊疗、康复中的作用。（7分）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1.辖区各社区卫生服务中心、乡办卫生院有中医综合服务市。（3分）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设有中医综合服务区的社区卫生服务中心、乡镇卫生院比例达100%，3分。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全市镇</w:t>
            </w:r>
            <w:r>
              <w:rPr>
                <w:rFonts w:hint="eastAsia" w:ascii="仿宋_GB2312" w:hAnsi="仿宋_GB2312" w:eastAsia="仿宋_GB2312" w:cs="仿宋_GB2312"/>
                <w:color w:val="auto"/>
                <w:sz w:val="24"/>
                <w:lang w:eastAsia="zh-CN"/>
              </w:rPr>
              <w:t>街</w:t>
            </w:r>
            <w:r>
              <w:rPr>
                <w:rFonts w:hint="eastAsia" w:ascii="仿宋_GB2312" w:hAnsi="仿宋_GB2312" w:eastAsia="仿宋_GB2312" w:cs="仿宋_GB2312"/>
                <w:color w:val="auto"/>
                <w:sz w:val="24"/>
              </w:rPr>
              <w:t>卫生院中医服务区设置列表及说明</w:t>
            </w:r>
            <w:r>
              <w:rPr>
                <w:rFonts w:hint="eastAsia" w:ascii="仿宋_GB2312" w:hAnsi="仿宋_GB2312" w:eastAsia="仿宋_GB2312" w:cs="仿宋_GB2312"/>
                <w:color w:val="auto"/>
                <w:sz w:val="24"/>
                <w:lang w:eastAsia="zh-CN"/>
              </w:rPr>
              <w:t>。</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查阅资料，现场评估。</w:t>
            </w:r>
          </w:p>
        </w:tc>
      </w:tr>
      <w:tr>
        <w:tblPrEx>
          <w:tblCellMar>
            <w:top w:w="0" w:type="dxa"/>
            <w:left w:w="0" w:type="dxa"/>
            <w:bottom w:w="0" w:type="dxa"/>
            <w:right w:w="0" w:type="dxa"/>
          </w:tblCellMar>
        </w:tblPrEx>
        <w:trPr>
          <w:gridAfter w:val="2"/>
          <w:wAfter w:w="15" w:type="dxa"/>
          <w:trHeight w:val="1005"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（五）中西医并重，发挥中医药在慢性病预防、保健、诊疗、康复中的作用。（7分）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2.开展中医药养生保健知识的宣传及中医适宜技术推广。（4分）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（1）宣传中医药养生保健知识，2分。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全市宣传中医药养生保健知识年度小结；推广中医适宜技术年度小结。</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查阅资料，现场评估。</w:t>
            </w: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（2）推广中医适宜技术，2分。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4"/>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做好基本医疗保险、城乡居民大病保险和医疗救助重大疾病保障的衔接。（7分）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1.做好基本医疗保险、城乡居民大病保险和医疗救助重大疾病保障。（4分）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（1）落实基本医疗保险、大病保险和医疗救助重大疾病保障等相关政策，2分。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提供基本医疗保险、大病保险和医疗救助重大疾病保障等年度和现行相关政策文件、落实情况总结</w:t>
            </w:r>
            <w:r>
              <w:rPr>
                <w:rFonts w:hint="eastAsia" w:ascii="仿宋_GB2312" w:hAnsi="仿宋_GB2312" w:eastAsia="仿宋_GB2312" w:cs="仿宋_GB2312"/>
                <w:color w:val="auto"/>
                <w:kern w:val="0"/>
                <w:sz w:val="24"/>
              </w:rPr>
              <w:t>及其他相关佐证材料</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（2）提高签约患者的医疗保障水平和残疾人、流动人口、低收入等人群医疗救助水平，2分。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6"/>
                <w:sz w:val="24"/>
              </w:rPr>
              <w:t>市民政局提供困难群体医疗救助有关资料；市卫生健康局提供</w:t>
            </w:r>
            <w:r>
              <w:rPr>
                <w:rFonts w:hint="eastAsia" w:ascii="仿宋_GB2312" w:hAnsi="仿宋_GB2312" w:eastAsia="仿宋_GB2312" w:cs="仿宋_GB2312"/>
                <w:color w:val="auto"/>
                <w:spacing w:val="-6"/>
                <w:kern w:val="0"/>
                <w:sz w:val="24"/>
              </w:rPr>
              <w:t>签约服务等相关制度，落实情况总结。</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gridAfter w:val="2"/>
          <w:wAfter w:w="15" w:type="dxa"/>
          <w:trHeight w:val="44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2.基层医疗卫生机构优先配备使用基本药物，根据省级医保药品报销目录，配备使用一定数量或比例的药品。（3分）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pacing w:val="0"/>
                <w:sz w:val="24"/>
                <w:szCs w:val="24"/>
              </w:rPr>
              <w:t>（1）按基本药物目录配置，1分。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p>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市医保局提供药物配置政策文件、年度工作总结等相关佐证资料。</w:t>
            </w:r>
          </w:p>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各级医疗机构准备现场查阅基层医疗卫生机构基本药物目录配置情况。</w:t>
            </w:r>
          </w:p>
        </w:tc>
        <w:tc>
          <w:tcPr>
            <w:tcW w:w="2055" w:type="dxa"/>
            <w:gridSpan w:val="4"/>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查阅资料，现场评估。</w:t>
            </w:r>
          </w:p>
        </w:tc>
      </w:tr>
      <w:tr>
        <w:tblPrEx>
          <w:tblCellMar>
            <w:top w:w="0" w:type="dxa"/>
            <w:left w:w="0" w:type="dxa"/>
            <w:bottom w:w="0" w:type="dxa"/>
            <w:right w:w="0" w:type="dxa"/>
          </w:tblCellMar>
        </w:tblPrEx>
        <w:trPr>
          <w:gridAfter w:val="2"/>
          <w:wAfter w:w="15" w:type="dxa"/>
          <w:trHeight w:val="156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（2）按省级卫生计生行政部门规定和要求配备使用医保报销药物，非基本药物占基层用药的30%及以上，2分；低于30%不得分。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55" w:type="dxa"/>
            <w:gridSpan w:val="4"/>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（七）动员社会力量参与慢性病防控工作，促进医养结合。（7分）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1.政府引导、市场驱动、社会力量参与，为慢性病患者提供健康管理服务。（4分）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（1）有效引进社会资本参与慢性病防控，1分。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各民营医院</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各民营医院、医养结合点、查体组织开办情况</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gridAfter w:val="2"/>
          <w:wAfter w:w="15" w:type="dxa"/>
          <w:trHeight w:val="90"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（2）商业健康保险参与医疗救助，1分。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提供本领域商业健康保险参与医疗救助情况。</w:t>
            </w:r>
          </w:p>
        </w:tc>
        <w:tc>
          <w:tcPr>
            <w:tcW w:w="2055" w:type="dxa"/>
            <w:gridSpan w:val="4"/>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8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trHeight w:val="90"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五、慢性病全程管理（87分）</w:t>
            </w: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（七）动员社会力量参与慢性病防控工作，促进医养结合。（7分）</w:t>
            </w:r>
          </w:p>
        </w:tc>
        <w:tc>
          <w:tcPr>
            <w:tcW w:w="2157" w:type="dxa"/>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2"/>
                <w:sz w:val="24"/>
                <w:szCs w:val="24"/>
                <w:lang w:val="en-US" w:eastAsia="zh-CN" w:bidi="ar-SA"/>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pacing w:val="-6"/>
                <w:kern w:val="0"/>
                <w:sz w:val="24"/>
              </w:rPr>
              <w:t>政府引导、市场驱动、社会力量参与，为慢性病患者提供健康管理服务。（4分）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（3）通过向社会力量购买服务的方式，为慢性病患者提供健康管理服务，2分。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各镇街提供向社会力量购买上门出诊、健康体检等服务有关资料。</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kern w:val="0"/>
                <w:sz w:val="24"/>
                <w:szCs w:val="24"/>
              </w:rPr>
              <w:t>查阅资料。</w:t>
            </w:r>
          </w:p>
        </w:tc>
      </w:tr>
      <w:tr>
        <w:tblPrEx>
          <w:tblCellMar>
            <w:top w:w="0" w:type="dxa"/>
            <w:left w:w="0" w:type="dxa"/>
            <w:bottom w:w="0" w:type="dxa"/>
            <w:right w:w="0" w:type="dxa"/>
          </w:tblCellMar>
        </w:tblPrEx>
        <w:trPr>
          <w:trHeight w:val="1047"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2.促进慢性病全程防治管理服务与居家养老、社区养老和机构养老服务融合。（3分）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（1）医疗机构向居家养老、社区养老与机构养老的老年人提供医养结合的健康养老服务覆盖比例≥80%,2分；60-70%，1分；低于60%不得分。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各镇</w:t>
            </w:r>
            <w:r>
              <w:rPr>
                <w:rFonts w:hint="eastAsia" w:ascii="仿宋_GB2312" w:hAnsi="仿宋_GB2312" w:eastAsia="仿宋_GB2312" w:cs="仿宋_GB2312"/>
                <w:color w:val="auto"/>
                <w:sz w:val="24"/>
                <w:lang w:eastAsia="zh-CN"/>
              </w:rPr>
              <w:t>街</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kern w:val="0"/>
                <w:sz w:val="24"/>
              </w:rPr>
              <w:t>市民政局、各镇街提供社区养老机构基本清单、小结。包括是否是医养结合点、服务比例。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spacing w:val="-6"/>
                <w:kern w:val="0"/>
                <w:sz w:val="24"/>
              </w:rPr>
              <w:t>市卫健局提供居家养老服务人口及服务比例。各基层医疗卫生机构提供日间照料中心和村卫生室签署的服务协议</w:t>
            </w:r>
            <w:r>
              <w:rPr>
                <w:rFonts w:hint="eastAsia" w:ascii="仿宋_GB2312" w:hAnsi="仿宋_GB2312" w:eastAsia="仿宋_GB2312" w:cs="仿宋_GB2312"/>
                <w:color w:val="auto"/>
                <w:spacing w:val="-6"/>
                <w:kern w:val="0"/>
                <w:sz w:val="24"/>
                <w:lang w:eastAsia="zh-CN"/>
              </w:rPr>
              <w:t>。</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545" w:hRule="atLeast"/>
        </w:trPr>
        <w:tc>
          <w:tcPr>
            <w:tcW w:w="910"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（2）具有医养结合机构的乡镇/街道覆盖率≥10%，1分。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医养结合机构有关资料及工作情况。</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590" w:hRule="atLeast"/>
        </w:trPr>
        <w:tc>
          <w:tcPr>
            <w:tcW w:w="910"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六、监测评估（30分）</w:t>
            </w:r>
          </w:p>
        </w:tc>
        <w:tc>
          <w:tcPr>
            <w:tcW w:w="1371" w:type="dxa"/>
            <w:gridSpan w:val="2"/>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（一）开展过程质量控制和重点慢性病监测工作。（15分）</w:t>
            </w:r>
          </w:p>
        </w:tc>
        <w:tc>
          <w:tcPr>
            <w:tcW w:w="2157"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1.规范开展覆盖辖区慢性病及相关危险因素监测，掌握辖区重点慢性病状况、影响因素和疾病负担。（10分）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全人群的死因监测、慢性病与营养监测、心脑血管疾病、肿瘤、慢阻肺等重大慢性病登记报告达到基本技术指标，完成报告。</w:t>
            </w:r>
          </w:p>
        </w:tc>
        <w:tc>
          <w:tcPr>
            <w:tcW w:w="123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市民政局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市医保局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市统计局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市公安局</w:t>
            </w:r>
          </w:p>
        </w:tc>
        <w:tc>
          <w:tcPr>
            <w:tcW w:w="3960" w:type="dxa"/>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1.</w:t>
            </w:r>
            <w:r>
              <w:rPr>
                <w:rFonts w:hint="eastAsia" w:ascii="仿宋_GB2312" w:hAnsi="仿宋_GB2312" w:eastAsia="仿宋_GB2312" w:cs="仿宋_GB2312"/>
                <w:color w:val="auto"/>
                <w:spacing w:val="-6"/>
                <w:kern w:val="0"/>
                <w:sz w:val="24"/>
              </w:rPr>
              <w:t>市民政局按月提供死亡火化人员名单</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2.</w:t>
            </w:r>
            <w:r>
              <w:rPr>
                <w:rFonts w:hint="eastAsia" w:ascii="仿宋_GB2312" w:hAnsi="仿宋_GB2312" w:eastAsia="仿宋_GB2312" w:cs="仿宋_GB2312"/>
                <w:color w:val="auto"/>
                <w:kern w:val="0"/>
                <w:sz w:val="24"/>
              </w:rPr>
              <w:t>市医保局、市民政局、市公安局每月提供死亡、销户人员信息。</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3.</w:t>
            </w:r>
            <w:r>
              <w:rPr>
                <w:rFonts w:hint="eastAsia" w:ascii="仿宋_GB2312" w:hAnsi="仿宋_GB2312" w:eastAsia="仿宋_GB2312" w:cs="仿宋_GB2312"/>
                <w:color w:val="auto"/>
                <w:kern w:val="0"/>
                <w:sz w:val="24"/>
              </w:rPr>
              <w:t>市统计局提供慢性病社会因素调查所需本底资料。</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4.</w:t>
            </w:r>
            <w:r>
              <w:rPr>
                <w:rFonts w:hint="eastAsia" w:ascii="仿宋_GB2312" w:hAnsi="仿宋_GB2312" w:eastAsia="仿宋_GB2312" w:cs="仿宋_GB2312"/>
                <w:color w:val="auto"/>
                <w:kern w:val="0"/>
                <w:sz w:val="24"/>
              </w:rPr>
              <w:t>各镇街以镇街为单位各类慢病报告率达到国家、省指标要求。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lang w:val="en-US" w:eastAsia="zh-CN"/>
              </w:rPr>
              <w:t>5.</w:t>
            </w:r>
            <w:r>
              <w:rPr>
                <w:rFonts w:hint="eastAsia" w:ascii="仿宋_GB2312" w:hAnsi="仿宋_GB2312" w:eastAsia="仿宋_GB2312" w:cs="仿宋_GB2312"/>
                <w:color w:val="auto"/>
                <w:kern w:val="0"/>
                <w:sz w:val="24"/>
              </w:rPr>
              <w:t>市疾控中心提供</w:t>
            </w:r>
          </w:p>
          <w:p>
            <w:pPr>
              <w:keepNext w:val="0"/>
              <w:keepLines w:val="0"/>
              <w:pageBreakBefore w:val="0"/>
              <w:widowControl w:val="0"/>
              <w:numPr>
                <w:ilvl w:val="0"/>
                <w:numId w:val="15"/>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死因工作总结、分析报告；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（2）肿瘤工作总结、分析报告；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kern w:val="0"/>
                <w:sz w:val="24"/>
              </w:rPr>
            </w:pPr>
            <w:r>
              <w:rPr>
                <w:rFonts w:hint="eastAsia" w:ascii="仿宋_GB2312" w:hAnsi="仿宋_GB2312" w:eastAsia="仿宋_GB2312" w:cs="仿宋_GB2312"/>
                <w:color w:val="auto"/>
                <w:kern w:val="0"/>
                <w:sz w:val="24"/>
              </w:rPr>
              <w:t>（3）心脑血管工作总结、分析报告；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（4）疾控中心提供相关监测方案、原始数据库、调查表、监测报告。</w:t>
            </w:r>
          </w:p>
        </w:tc>
        <w:tc>
          <w:tcPr>
            <w:tcW w:w="2070" w:type="dxa"/>
            <w:gridSpan w:val="6"/>
            <w:vMerge w:val="restart"/>
            <w:tcBorders>
              <w:top w:val="single" w:color="auto" w:sz="4" w:space="0"/>
              <w:left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45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（1）死因监测，2分；</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700"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26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（2）每5年1次慢病与营养监测，2分；</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54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w:t>
            </w:r>
            <w:r>
              <w:rPr>
                <w:rFonts w:hint="eastAsia" w:ascii="仿宋_GB2312" w:hAnsi="仿宋_GB2312" w:eastAsia="仿宋_GB2312" w:cs="仿宋_GB2312"/>
                <w:color w:val="auto"/>
                <w:spacing w:val="-6"/>
                <w:sz w:val="24"/>
              </w:rPr>
              <w:t>心脑血管疾病报告，2分；</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1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（4）肿瘤随访登记，2分；</w:t>
            </w:r>
          </w:p>
        </w:tc>
        <w:tc>
          <w:tcPr>
            <w:tcW w:w="123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02" w:hRule="atLeast"/>
        </w:trPr>
        <w:tc>
          <w:tcPr>
            <w:tcW w:w="910"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（5）慢阻肺监测，2分。</w:t>
            </w:r>
          </w:p>
        </w:tc>
        <w:tc>
          <w:tcPr>
            <w:tcW w:w="123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932" w:hRule="atLeast"/>
        </w:trPr>
        <w:tc>
          <w:tcPr>
            <w:tcW w:w="910"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六、监测评估（30分）</w:t>
            </w:r>
          </w:p>
        </w:tc>
        <w:tc>
          <w:tcPr>
            <w:tcW w:w="1371" w:type="dxa"/>
            <w:gridSpan w:val="2"/>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（一）开展过程质量控制和重点慢性病监测工作。（15分）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2.慢性病监测数据互联互通。（5分）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利用省、地市、市三级人口健康信息和疾病预防控制信息管理系统，实现重点慢性病监测数据互联互通，5分。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市卫健局</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市疾控中心提供相关佐证</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现场评估</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745"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numPr>
                <w:ilvl w:val="0"/>
                <w:numId w:val="16"/>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开展慢性病防控社会因素调查，定期发布调查结果。（15分）</w:t>
            </w: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1.辖区每5年开展一次慢性病防控社会因素调查。（9分）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（1）综合运用社会学、流行病学及管理学理论与方法开展社会因素调查，完成调查报告，3分。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医疗卫生机构</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1.疾控中心提供调查方案、原始数据库、调查表、调查报告。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2.示范区建设及慢性病综合防控工作计划引用、使用调查报告的结果。</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1138"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（2）报告信息来源权威、准确、多元、综合，报告结构完整，有背景、方法、现状与主要问题、资源分析、预期目标、主要对策与具体措施等内容，2分。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696"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numPr>
                <w:ilvl w:val="0"/>
                <w:numId w:val="16"/>
              </w:numPr>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开展慢性病防控社会因素调查，定期发布调查结果。（15分）</w:t>
            </w:r>
          </w:p>
        </w:tc>
        <w:tc>
          <w:tcPr>
            <w:tcW w:w="2157"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1.辖区每5年开展一次慢性病防控社会因素调查。（9分）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（3）报告调查结果清晰、调查依据正确、对策合乎逻辑、目标设定科学、措施制定得当，2分。</w:t>
            </w:r>
          </w:p>
        </w:tc>
        <w:tc>
          <w:tcPr>
            <w:tcW w:w="123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市疾控中心</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医疗卫生机构</w:t>
            </w:r>
          </w:p>
        </w:tc>
        <w:tc>
          <w:tcPr>
            <w:tcW w:w="3960" w:type="dxa"/>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1.疾控中心提供调查方案、原始数据库、调查表、调查报告。</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2.示范区建设及慢性病综合防控工作计划引用、使用调查报告的结果</w:t>
            </w:r>
          </w:p>
        </w:tc>
        <w:tc>
          <w:tcPr>
            <w:tcW w:w="2070" w:type="dxa"/>
            <w:gridSpan w:val="6"/>
            <w:vMerge w:val="restart"/>
            <w:tcBorders>
              <w:top w:val="single" w:color="auto" w:sz="4" w:space="0"/>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sz w:val="24"/>
                <w:szCs w:val="24"/>
              </w:rPr>
              <w:t>查阅资料</w:t>
            </w:r>
            <w:r>
              <w:rPr>
                <w:rFonts w:hint="eastAsia" w:ascii="仿宋_GB2312" w:hAnsi="仿宋_GB2312" w:eastAsia="仿宋_GB2312" w:cs="仿宋_GB2312"/>
                <w:color w:val="auto"/>
                <w:sz w:val="24"/>
                <w:szCs w:val="24"/>
                <w:lang w:eastAsia="zh-CN"/>
              </w:rPr>
              <w:t>。</w:t>
            </w:r>
          </w:p>
        </w:tc>
      </w:tr>
      <w:tr>
        <w:tblPrEx>
          <w:tblCellMar>
            <w:top w:w="0" w:type="dxa"/>
            <w:left w:w="0" w:type="dxa"/>
            <w:bottom w:w="0" w:type="dxa"/>
            <w:right w:w="0" w:type="dxa"/>
          </w:tblCellMar>
        </w:tblPrEx>
        <w:trPr>
          <w:trHeight w:val="734"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0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（4）报告结果用于指引、评估示范区建设及慢性病综合防控工作计划的制定，2分。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482" w:hRule="atLeast"/>
        </w:trPr>
        <w:tc>
          <w:tcPr>
            <w:tcW w:w="910" w:type="dxa"/>
            <w:gridSpan w:val="2"/>
            <w:vMerge w:val="continue"/>
            <w:tcBorders>
              <w:left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2.辖区政府发布人群慢性病防控有关健康信息。（6分）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（1）辖区政府每5年发布慢性病防控内容的综合健康报告，3分。</w:t>
            </w:r>
          </w:p>
        </w:tc>
        <w:tc>
          <w:tcPr>
            <w:tcW w:w="123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tc>
        <w:tc>
          <w:tcPr>
            <w:tcW w:w="3960" w:type="dxa"/>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kern w:val="0"/>
                <w:sz w:val="24"/>
              </w:rPr>
              <w:t>1、市政府的综合健康报告内含</w:t>
            </w:r>
            <w:r>
              <w:rPr>
                <w:rFonts w:hint="eastAsia" w:ascii="仿宋_GB2312" w:hAnsi="仿宋_GB2312" w:eastAsia="仿宋_GB2312" w:cs="仿宋_GB2312"/>
                <w:color w:val="auto"/>
                <w:sz w:val="24"/>
              </w:rPr>
              <w:t>慢性病防控内容；</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2.政府工作报告内提及综合健康报告主要结果。</w:t>
            </w:r>
          </w:p>
        </w:tc>
        <w:tc>
          <w:tcPr>
            <w:tcW w:w="2070" w:type="dxa"/>
            <w:gridSpan w:val="6"/>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lang w:eastAsia="zh-CN"/>
              </w:rPr>
            </w:pPr>
            <w:r>
              <w:rPr>
                <w:rFonts w:hint="eastAsia" w:ascii="仿宋_GB2312" w:hAnsi="仿宋_GB2312" w:eastAsia="仿宋_GB2312" w:cs="仿宋_GB2312"/>
                <w:color w:val="auto"/>
                <w:kern w:val="0"/>
                <w:sz w:val="24"/>
                <w:szCs w:val="24"/>
              </w:rPr>
              <w:t>查阅资料</w:t>
            </w:r>
            <w:r>
              <w:rPr>
                <w:rFonts w:hint="eastAsia" w:ascii="仿宋_GB2312" w:hAnsi="仿宋_GB2312" w:eastAsia="仿宋_GB2312" w:cs="仿宋_GB2312"/>
                <w:color w:val="auto"/>
                <w:kern w:val="0"/>
                <w:sz w:val="24"/>
                <w:szCs w:val="24"/>
                <w:lang w:eastAsia="zh-CN"/>
              </w:rPr>
              <w:t>。</w:t>
            </w:r>
          </w:p>
        </w:tc>
      </w:tr>
      <w:tr>
        <w:tblPrEx>
          <w:tblCellMar>
            <w:top w:w="0" w:type="dxa"/>
            <w:left w:w="0" w:type="dxa"/>
            <w:bottom w:w="0" w:type="dxa"/>
            <w:right w:w="0" w:type="dxa"/>
          </w:tblCellMar>
        </w:tblPrEx>
        <w:trPr>
          <w:trHeight w:val="633" w:hRule="atLeast"/>
        </w:trPr>
        <w:tc>
          <w:tcPr>
            <w:tcW w:w="910" w:type="dxa"/>
            <w:gridSpan w:val="2"/>
            <w:vMerge w:val="continue"/>
            <w:tcBorders>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（2）综合健康报告主要结果用于政府工作报告，3分。</w:t>
            </w:r>
          </w:p>
        </w:tc>
        <w:tc>
          <w:tcPr>
            <w:tcW w:w="123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p>
        </w:tc>
        <w:tc>
          <w:tcPr>
            <w:tcW w:w="3960" w:type="dxa"/>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p>
        </w:tc>
        <w:tc>
          <w:tcPr>
            <w:tcW w:w="2070" w:type="dxa"/>
            <w:gridSpan w:val="6"/>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p>
        </w:tc>
      </w:tr>
      <w:tr>
        <w:tblPrEx>
          <w:tblCellMar>
            <w:top w:w="0" w:type="dxa"/>
            <w:left w:w="0" w:type="dxa"/>
            <w:bottom w:w="0" w:type="dxa"/>
            <w:right w:w="0" w:type="dxa"/>
          </w:tblCellMar>
        </w:tblPrEx>
        <w:trPr>
          <w:trHeight w:val="2880" w:hRule="atLeast"/>
        </w:trPr>
        <w:tc>
          <w:tcPr>
            <w:tcW w:w="910"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r>
              <w:rPr>
                <w:rFonts w:hint="eastAsia" w:ascii="黑体" w:hAnsi="黑体" w:eastAsia="黑体" w:cs="黑体"/>
                <w:b w:val="0"/>
                <w:bCs w:val="0"/>
                <w:color w:val="auto"/>
                <w:sz w:val="24"/>
                <w:szCs w:val="24"/>
              </w:rPr>
              <w:t>七、创新引领（30分）</w:t>
            </w:r>
          </w:p>
        </w:tc>
        <w:tc>
          <w:tcPr>
            <w:tcW w:w="1371"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r>
              <w:rPr>
                <w:rFonts w:hint="eastAsia" w:ascii="楷体_GB2312" w:hAnsi="楷体_GB2312" w:eastAsia="楷体_GB2312" w:cs="楷体_GB2312"/>
                <w:b w:val="0"/>
                <w:bCs w:val="0"/>
                <w:color w:val="auto"/>
                <w:sz w:val="24"/>
              </w:rPr>
              <w:t>慢性病综合防控工作有特色、可复制、可推广。（30分）</w:t>
            </w: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1.倡导慢性病综合防控工作与当地社会、文化等建设和公共服务、公共产品供给相结合。（10分）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慢性病综合防控工作与辖区社区文化建设、卫生乡镇建设、文明创建、公共服务与公共产品等相关项目有机衔接整合，以达到1+1&gt;2的实际效果。建立协同工作机制并有效衔接达3项，10分；1-2项，5分。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市政府办</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委宣传部</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市文旅局</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各部门</w:t>
            </w:r>
          </w:p>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各镇</w:t>
            </w:r>
            <w:r>
              <w:rPr>
                <w:rFonts w:hint="eastAsia" w:ascii="仿宋_GB2312" w:hAnsi="仿宋_GB2312" w:eastAsia="仿宋_GB2312" w:cs="仿宋_GB2312"/>
                <w:color w:val="auto"/>
                <w:sz w:val="24"/>
                <w:lang w:eastAsia="zh-CN"/>
              </w:rPr>
              <w:t>街</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市</w:t>
            </w:r>
            <w:r>
              <w:rPr>
                <w:rFonts w:hint="eastAsia" w:ascii="仿宋_GB2312" w:hAnsi="仿宋_GB2312" w:eastAsia="仿宋_GB2312" w:cs="仿宋_GB2312"/>
                <w:color w:val="auto"/>
                <w:sz w:val="24"/>
                <w:lang w:eastAsia="zh-CN"/>
              </w:rPr>
              <w:t>委宣传部</w:t>
            </w:r>
            <w:r>
              <w:rPr>
                <w:rFonts w:hint="eastAsia" w:ascii="仿宋_GB2312" w:hAnsi="仿宋_GB2312" w:eastAsia="仿宋_GB2312" w:cs="仿宋_GB2312"/>
                <w:color w:val="auto"/>
                <w:sz w:val="24"/>
              </w:rPr>
              <w:t>提供：</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1.</w:t>
            </w:r>
            <w:r>
              <w:rPr>
                <w:rFonts w:hint="eastAsia" w:ascii="仿宋_GB2312" w:hAnsi="仿宋_GB2312" w:eastAsia="仿宋_GB2312" w:cs="仿宋_GB2312"/>
                <w:color w:val="auto"/>
                <w:spacing w:val="-11"/>
                <w:kern w:val="0"/>
                <w:sz w:val="24"/>
              </w:rPr>
              <w:t>2019/2020/2021年文明城市创建方案；</w:t>
            </w:r>
          </w:p>
          <w:p>
            <w:pPr>
              <w:keepNext w:val="0"/>
              <w:keepLines w:val="0"/>
              <w:pageBreakBefore w:val="0"/>
              <w:widowControl w:val="0"/>
              <w:numPr>
                <w:ilvl w:val="0"/>
                <w:numId w:val="12"/>
              </w:numPr>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pacing w:val="-11"/>
                <w:sz w:val="24"/>
              </w:rPr>
              <w:t>文明城卫生城创建中与健康相关资料。</w:t>
            </w:r>
          </w:p>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各部门、镇街提供辖区卫生与社会、文化建设的相关典型资料。</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查阅项目计划书与总结报告资料，现场评估。</w:t>
            </w:r>
          </w:p>
        </w:tc>
      </w:tr>
      <w:tr>
        <w:tblPrEx>
          <w:tblCellMar>
            <w:top w:w="0" w:type="dxa"/>
            <w:left w:w="0" w:type="dxa"/>
            <w:bottom w:w="0" w:type="dxa"/>
            <w:right w:w="0" w:type="dxa"/>
          </w:tblCellMar>
        </w:tblPrEx>
        <w:trPr>
          <w:trHeight w:val="3155" w:hRule="atLeast"/>
        </w:trPr>
        <w:tc>
          <w:tcPr>
            <w:tcW w:w="910"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single" w:color="auto" w:sz="4" w:space="0"/>
              <w:bottom w:val="single" w:color="auto" w:sz="4"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2.总结有创新、特色案例。（15分）</w:t>
            </w:r>
          </w:p>
        </w:tc>
        <w:tc>
          <w:tcPr>
            <w:tcW w:w="3075"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创新特色案例达2个，案例撰写符合要求，15分；1个，10分。</w:t>
            </w:r>
          </w:p>
        </w:tc>
        <w:tc>
          <w:tcPr>
            <w:tcW w:w="123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b/>
                <w:bCs/>
                <w:color w:val="auto"/>
                <w:sz w:val="24"/>
              </w:rPr>
              <w:t>案例总体要求：</w:t>
            </w:r>
            <w:r>
              <w:rPr>
                <w:rFonts w:hint="eastAsia" w:ascii="仿宋_GB2312" w:hAnsi="仿宋_GB2312" w:eastAsia="仿宋_GB2312" w:cs="仿宋_GB2312"/>
                <w:color w:val="auto"/>
                <w:sz w:val="24"/>
              </w:rPr>
              <w:t>特色部分在示范区评审中起到非常重要的重要，只要与群众健康有关的课题均可，每年要求2个以上案例。希望各部门各单位积极撰写健康相关的典型做法。案例有要创新特色、可推广、可复制，撰写符合要求的案例。例如：“医养结合1+1+N+net模式”有关方案、计划、总结、宣传报道等资料。</w:t>
            </w:r>
          </w:p>
        </w:tc>
        <w:tc>
          <w:tcPr>
            <w:tcW w:w="2070" w:type="dxa"/>
            <w:gridSpan w:val="6"/>
            <w:tcBorders>
              <w:top w:val="single" w:color="auto" w:sz="4" w:space="0"/>
              <w:left w:val="single" w:color="auto" w:sz="4" w:space="0"/>
              <w:bottom w:val="single" w:color="auto" w:sz="4" w:space="0"/>
              <w:right w:val="single" w:color="auto" w:sz="4"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查阅案例文件，查阅该案例的相关原始素材等资料，现场评估。</w:t>
            </w:r>
          </w:p>
        </w:tc>
      </w:tr>
      <w:tr>
        <w:tblPrEx>
          <w:tblCellMar>
            <w:top w:w="0" w:type="dxa"/>
            <w:left w:w="0" w:type="dxa"/>
            <w:bottom w:w="0" w:type="dxa"/>
            <w:right w:w="0" w:type="dxa"/>
          </w:tblCellMar>
        </w:tblPrEx>
        <w:trPr>
          <w:trHeight w:val="1880" w:hRule="atLeast"/>
        </w:trPr>
        <w:tc>
          <w:tcPr>
            <w:tcW w:w="910" w:type="dxa"/>
            <w:gridSpan w:val="2"/>
            <w:vMerge w:val="continue"/>
            <w:tcBorders>
              <w:top w:val="single" w:color="auto" w:sz="4" w:space="0"/>
              <w:left w:val="single" w:color="auto" w:sz="4" w:space="0"/>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黑体" w:hAnsi="黑体" w:eastAsia="黑体" w:cs="黑体"/>
                <w:b w:val="0"/>
                <w:bCs w:val="0"/>
                <w:color w:val="auto"/>
                <w:sz w:val="24"/>
                <w:szCs w:val="24"/>
              </w:rPr>
            </w:pPr>
          </w:p>
        </w:tc>
        <w:tc>
          <w:tcPr>
            <w:tcW w:w="1371" w:type="dxa"/>
            <w:gridSpan w:val="2"/>
            <w:vMerge w:val="continue"/>
            <w:tcBorders>
              <w:top w:val="single" w:color="auto" w:sz="4" w:space="0"/>
              <w:left w:val="nil"/>
              <w:bottom w:val="single" w:color="auto" w:sz="4"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楷体_GB2312" w:hAnsi="楷体_GB2312" w:eastAsia="楷体_GB2312" w:cs="楷体_GB2312"/>
                <w:b w:val="0"/>
                <w:bCs w:val="0"/>
                <w:color w:val="auto"/>
                <w:sz w:val="24"/>
              </w:rPr>
            </w:pPr>
          </w:p>
        </w:tc>
        <w:tc>
          <w:tcPr>
            <w:tcW w:w="2157" w:type="dxa"/>
            <w:tcBorders>
              <w:top w:val="single" w:color="auto" w:sz="4" w:space="0"/>
              <w:left w:val="nil"/>
              <w:bottom w:val="single" w:color="auto" w:sz="8" w:space="0"/>
              <w:right w:val="single" w:color="auto" w:sz="8"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3.示范区成功经验在全省被推广应用.（5分）</w:t>
            </w:r>
          </w:p>
        </w:tc>
        <w:tc>
          <w:tcPr>
            <w:tcW w:w="3075" w:type="dxa"/>
            <w:tcBorders>
              <w:top w:val="single" w:color="auto" w:sz="4" w:space="0"/>
              <w:left w:val="nil"/>
              <w:bottom w:val="single" w:color="auto" w:sz="8" w:space="0"/>
              <w:right w:val="single" w:color="auto" w:sz="8"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ascii="仿宋_GB2312" w:hAnsi="仿宋_GB2312" w:eastAsia="仿宋_GB2312" w:cs="仿宋_GB2312"/>
                <w:color w:val="auto"/>
                <w:sz w:val="24"/>
              </w:rPr>
            </w:pPr>
            <w:r>
              <w:rPr>
                <w:rFonts w:hint="eastAsia" w:ascii="仿宋_GB2312" w:hAnsi="仿宋_GB2312" w:eastAsia="仿宋_GB2312" w:cs="仿宋_GB2312"/>
                <w:color w:val="auto"/>
                <w:sz w:val="24"/>
              </w:rPr>
              <w:t>示范区成功经验被推广2项，5分；1项，3分。</w:t>
            </w:r>
          </w:p>
        </w:tc>
        <w:tc>
          <w:tcPr>
            <w:tcW w:w="1230" w:type="dxa"/>
            <w:tcBorders>
              <w:top w:val="single" w:color="auto" w:sz="4" w:space="0"/>
              <w:left w:val="nil"/>
              <w:bottom w:val="single" w:color="auto" w:sz="8" w:space="0"/>
              <w:right w:val="single" w:color="auto" w:sz="8" w:space="0"/>
            </w:tcBorders>
            <w:noWrap/>
            <w:tcMar>
              <w:top w:w="15" w:type="dxa"/>
              <w:left w:w="15" w:type="dxa"/>
              <w:bottom w:w="15" w:type="dxa"/>
              <w:right w:w="15" w:type="dxa"/>
            </w:tcMar>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center"/>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各成员单位</w:t>
            </w:r>
          </w:p>
        </w:tc>
        <w:tc>
          <w:tcPr>
            <w:tcW w:w="3960" w:type="dxa"/>
            <w:tcBorders>
              <w:top w:val="single" w:color="auto" w:sz="4" w:space="0"/>
              <w:left w:val="nil"/>
              <w:bottom w:val="single" w:color="auto" w:sz="8" w:space="0"/>
              <w:right w:val="single" w:color="auto" w:sz="8"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both"/>
              <w:textAlignment w:val="auto"/>
              <w:rPr>
                <w:rFonts w:hint="eastAsia" w:ascii="仿宋_GB2312" w:hAnsi="仿宋_GB2312" w:eastAsia="仿宋_GB2312" w:cs="仿宋_GB2312"/>
                <w:color w:val="auto"/>
                <w:sz w:val="24"/>
              </w:rPr>
            </w:pPr>
            <w:r>
              <w:rPr>
                <w:rFonts w:hint="eastAsia" w:ascii="仿宋_GB2312" w:hAnsi="仿宋_GB2312" w:eastAsia="仿宋_GB2312" w:cs="仿宋_GB2312"/>
                <w:color w:val="auto"/>
                <w:sz w:val="24"/>
              </w:rPr>
              <w:t>各级各部门有关健康的典型做法被推广的，提供方案、宣传报道、总结等资料。</w:t>
            </w:r>
          </w:p>
        </w:tc>
        <w:tc>
          <w:tcPr>
            <w:tcW w:w="2070" w:type="dxa"/>
            <w:gridSpan w:val="6"/>
            <w:tcBorders>
              <w:top w:val="single" w:color="auto" w:sz="4" w:space="0"/>
              <w:left w:val="nil"/>
              <w:bottom w:val="single" w:color="auto" w:sz="8" w:space="0"/>
              <w:right w:val="single" w:color="auto" w:sz="4" w:space="0"/>
            </w:tcBorders>
            <w:noWrap/>
            <w:vAlign w:val="center"/>
          </w:tcPr>
          <w:p>
            <w:pPr>
              <w:keepNext w:val="0"/>
              <w:keepLines w:val="0"/>
              <w:pageBreakBefore w:val="0"/>
              <w:widowControl w:val="0"/>
              <w:kinsoku/>
              <w:wordWrap/>
              <w:overflowPunct/>
              <w:topLinePunct w:val="0"/>
              <w:autoSpaceDE/>
              <w:autoSpaceDN/>
              <w:bidi w:val="0"/>
              <w:adjustRightInd w:val="0"/>
              <w:snapToGrid w:val="0"/>
              <w:spacing w:line="320" w:lineRule="exact"/>
              <w:jc w:val="left"/>
              <w:textAlignment w:val="auto"/>
              <w:rPr>
                <w:rFonts w:hint="eastAsia" w:ascii="仿宋_GB2312" w:hAnsi="仿宋_GB2312" w:eastAsia="仿宋_GB2312" w:cs="仿宋_GB2312"/>
                <w:color w:val="auto"/>
                <w:sz w:val="24"/>
                <w:szCs w:val="24"/>
              </w:rPr>
            </w:pPr>
            <w:r>
              <w:rPr>
                <w:rFonts w:hint="eastAsia" w:ascii="仿宋_GB2312" w:hAnsi="仿宋_GB2312" w:eastAsia="仿宋_GB2312" w:cs="仿宋_GB2312"/>
                <w:color w:val="auto"/>
                <w:sz w:val="24"/>
                <w:szCs w:val="24"/>
              </w:rPr>
              <w:t>查阅每项被推广应查看成功经验描述件、省级要求的推广文件、推广后的反响等资料，现场评估。</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2E5CFA"/>
    <w:multiLevelType w:val="singleLevel"/>
    <w:tmpl w:val="B92E5CFA"/>
    <w:lvl w:ilvl="0" w:tentative="0">
      <w:start w:val="1"/>
      <w:numFmt w:val="decimal"/>
      <w:suff w:val="nothing"/>
      <w:lvlText w:val="（%1）"/>
      <w:lvlJc w:val="left"/>
    </w:lvl>
  </w:abstractNum>
  <w:abstractNum w:abstractNumId="1">
    <w:nsid w:val="592FB5D8"/>
    <w:multiLevelType w:val="singleLevel"/>
    <w:tmpl w:val="592FB5D8"/>
    <w:lvl w:ilvl="0" w:tentative="0">
      <w:start w:val="1"/>
      <w:numFmt w:val="decimal"/>
      <w:suff w:val="nothing"/>
      <w:lvlText w:val="%1."/>
      <w:lvlJc w:val="left"/>
    </w:lvl>
  </w:abstractNum>
  <w:abstractNum w:abstractNumId="2">
    <w:nsid w:val="592FB60A"/>
    <w:multiLevelType w:val="singleLevel"/>
    <w:tmpl w:val="592FB60A"/>
    <w:lvl w:ilvl="0" w:tentative="0">
      <w:start w:val="1"/>
      <w:numFmt w:val="decimal"/>
      <w:suff w:val="nothing"/>
      <w:lvlText w:val="%1."/>
      <w:lvlJc w:val="left"/>
    </w:lvl>
  </w:abstractNum>
  <w:abstractNum w:abstractNumId="3">
    <w:nsid w:val="5943871E"/>
    <w:multiLevelType w:val="singleLevel"/>
    <w:tmpl w:val="5943871E"/>
    <w:lvl w:ilvl="0" w:tentative="0">
      <w:start w:val="1"/>
      <w:numFmt w:val="decimal"/>
      <w:suff w:val="nothing"/>
      <w:lvlText w:val="%1."/>
      <w:lvlJc w:val="left"/>
    </w:lvl>
  </w:abstractNum>
  <w:abstractNum w:abstractNumId="4">
    <w:nsid w:val="59438746"/>
    <w:multiLevelType w:val="singleLevel"/>
    <w:tmpl w:val="59438746"/>
    <w:lvl w:ilvl="0" w:tentative="0">
      <w:start w:val="1"/>
      <w:numFmt w:val="decimal"/>
      <w:suff w:val="nothing"/>
      <w:lvlText w:val="%1."/>
      <w:lvlJc w:val="left"/>
    </w:lvl>
  </w:abstractNum>
  <w:abstractNum w:abstractNumId="5">
    <w:nsid w:val="5943884B"/>
    <w:multiLevelType w:val="singleLevel"/>
    <w:tmpl w:val="5943884B"/>
    <w:lvl w:ilvl="0" w:tentative="0">
      <w:start w:val="1"/>
      <w:numFmt w:val="decimal"/>
      <w:suff w:val="nothing"/>
      <w:lvlText w:val="%1."/>
      <w:lvlJc w:val="left"/>
    </w:lvl>
  </w:abstractNum>
  <w:abstractNum w:abstractNumId="6">
    <w:nsid w:val="59438986"/>
    <w:multiLevelType w:val="singleLevel"/>
    <w:tmpl w:val="59438986"/>
    <w:lvl w:ilvl="0" w:tentative="0">
      <w:start w:val="1"/>
      <w:numFmt w:val="decimal"/>
      <w:suff w:val="nothing"/>
      <w:lvlText w:val="%1."/>
      <w:lvlJc w:val="left"/>
    </w:lvl>
  </w:abstractNum>
  <w:abstractNum w:abstractNumId="7">
    <w:nsid w:val="59438C2D"/>
    <w:multiLevelType w:val="singleLevel"/>
    <w:tmpl w:val="59438C2D"/>
    <w:lvl w:ilvl="0" w:tentative="0">
      <w:start w:val="3"/>
      <w:numFmt w:val="decimal"/>
      <w:suff w:val="nothing"/>
      <w:lvlText w:val="%1."/>
      <w:lvlJc w:val="left"/>
    </w:lvl>
  </w:abstractNum>
  <w:abstractNum w:abstractNumId="8">
    <w:nsid w:val="59438C5C"/>
    <w:multiLevelType w:val="singleLevel"/>
    <w:tmpl w:val="59438C5C"/>
    <w:lvl w:ilvl="0" w:tentative="0">
      <w:start w:val="1"/>
      <w:numFmt w:val="decimal"/>
      <w:suff w:val="nothing"/>
      <w:lvlText w:val="%1."/>
      <w:lvlJc w:val="left"/>
    </w:lvl>
  </w:abstractNum>
  <w:abstractNum w:abstractNumId="9">
    <w:nsid w:val="59438CD9"/>
    <w:multiLevelType w:val="singleLevel"/>
    <w:tmpl w:val="59438CD9"/>
    <w:lvl w:ilvl="0" w:tentative="0">
      <w:start w:val="1"/>
      <w:numFmt w:val="decimal"/>
      <w:suff w:val="nothing"/>
      <w:lvlText w:val="%1."/>
      <w:lvlJc w:val="left"/>
    </w:lvl>
  </w:abstractNum>
  <w:abstractNum w:abstractNumId="10">
    <w:nsid w:val="5AEA5526"/>
    <w:multiLevelType w:val="singleLevel"/>
    <w:tmpl w:val="5AEA5526"/>
    <w:lvl w:ilvl="0" w:tentative="0">
      <w:start w:val="2"/>
      <w:numFmt w:val="chineseCounting"/>
      <w:suff w:val="nothing"/>
      <w:lvlText w:val="（%1）"/>
      <w:lvlJc w:val="left"/>
    </w:lvl>
  </w:abstractNum>
  <w:abstractNum w:abstractNumId="11">
    <w:nsid w:val="5AEA569F"/>
    <w:multiLevelType w:val="singleLevel"/>
    <w:tmpl w:val="5AEA569F"/>
    <w:lvl w:ilvl="0" w:tentative="0">
      <w:start w:val="3"/>
      <w:numFmt w:val="chineseCounting"/>
      <w:suff w:val="nothing"/>
      <w:lvlText w:val="（%1）"/>
      <w:lvlJc w:val="left"/>
    </w:lvl>
  </w:abstractNum>
  <w:abstractNum w:abstractNumId="12">
    <w:nsid w:val="5AEA5C4F"/>
    <w:multiLevelType w:val="singleLevel"/>
    <w:tmpl w:val="5AEA5C4F"/>
    <w:lvl w:ilvl="0" w:tentative="0">
      <w:start w:val="3"/>
      <w:numFmt w:val="chineseCounting"/>
      <w:suff w:val="nothing"/>
      <w:lvlText w:val="（%1）"/>
      <w:lvlJc w:val="left"/>
    </w:lvl>
  </w:abstractNum>
  <w:abstractNum w:abstractNumId="13">
    <w:nsid w:val="5AEA5DA5"/>
    <w:multiLevelType w:val="singleLevel"/>
    <w:tmpl w:val="5AEA5DA5"/>
    <w:lvl w:ilvl="0" w:tentative="0">
      <w:start w:val="2"/>
      <w:numFmt w:val="chineseCounting"/>
      <w:suff w:val="nothing"/>
      <w:lvlText w:val="（%1）"/>
      <w:lvlJc w:val="left"/>
    </w:lvl>
  </w:abstractNum>
  <w:abstractNum w:abstractNumId="14">
    <w:nsid w:val="5AEA5F38"/>
    <w:multiLevelType w:val="singleLevel"/>
    <w:tmpl w:val="5AEA5F38"/>
    <w:lvl w:ilvl="0" w:tentative="0">
      <w:start w:val="6"/>
      <w:numFmt w:val="chineseCounting"/>
      <w:suff w:val="nothing"/>
      <w:lvlText w:val="（%1）"/>
      <w:lvlJc w:val="left"/>
    </w:lvl>
  </w:abstractNum>
  <w:abstractNum w:abstractNumId="15">
    <w:nsid w:val="5AEA60F9"/>
    <w:multiLevelType w:val="singleLevel"/>
    <w:tmpl w:val="5AEA60F9"/>
    <w:lvl w:ilvl="0" w:tentative="0">
      <w:start w:val="2"/>
      <w:numFmt w:val="chineseCounting"/>
      <w:suff w:val="nothing"/>
      <w:lvlText w:val="（%1）"/>
      <w:lvlJc w:val="left"/>
    </w:lvl>
  </w:abstractNum>
  <w:num w:numId="1">
    <w:abstractNumId w:val="10"/>
  </w:num>
  <w:num w:numId="2">
    <w:abstractNumId w:val="1"/>
  </w:num>
  <w:num w:numId="3">
    <w:abstractNumId w:val="2"/>
  </w:num>
  <w:num w:numId="4">
    <w:abstractNumId w:val="5"/>
  </w:num>
  <w:num w:numId="5">
    <w:abstractNumId w:val="11"/>
  </w:num>
  <w:num w:numId="6">
    <w:abstractNumId w:val="3"/>
  </w:num>
  <w:num w:numId="7">
    <w:abstractNumId w:val="4"/>
  </w:num>
  <w:num w:numId="8">
    <w:abstractNumId w:val="6"/>
  </w:num>
  <w:num w:numId="9">
    <w:abstractNumId w:val="7"/>
  </w:num>
  <w:num w:numId="10">
    <w:abstractNumId w:val="8"/>
  </w:num>
  <w:num w:numId="11">
    <w:abstractNumId w:val="12"/>
  </w:num>
  <w:num w:numId="12">
    <w:abstractNumId w:val="9"/>
  </w:num>
  <w:num w:numId="13">
    <w:abstractNumId w:val="13"/>
  </w:num>
  <w:num w:numId="14">
    <w:abstractNumId w:val="14"/>
  </w:num>
  <w:num w:numId="15">
    <w:abstractNumId w:val="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gyYTkyZjE0ZTAxMTM0ODE3MDgwZTI1Yzc4Zjc1NDEifQ=="/>
  </w:docVars>
  <w:rsids>
    <w:rsidRoot w:val="6C2C5ADA"/>
    <w:rsid w:val="5F73D264"/>
    <w:rsid w:val="6C2C5ADA"/>
    <w:rsid w:val="6EB5F38B"/>
    <w:rsid w:val="79D95C99"/>
    <w:rsid w:val="F7FB0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 w:type="paragraph" w:customStyle="1" w:styleId="5">
    <w:name w:val="_Style 2"/>
    <w:basedOn w:val="1"/>
    <w:qFormat/>
    <w:uiPriority w:val="0"/>
    <w:pPr>
      <w:ind w:firstLine="420" w:firstLineChars="200"/>
    </w:pPr>
    <w:rPr>
      <w:rFonts w:ascii="Calibri" w:hAnsi="Calibri" w:eastAsia="宋体" w:cs="Times New Roman"/>
      <w:szCs w:val="2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2022-11-23T07:00:00Z</dcterms:created>
  <dc:creator>爱新觉罗-琛</dc:creator>
  <cp:lastModifiedBy>user</cp:lastModifiedBy>
  <dcterms:modified xsi:type="dcterms:W3CDTF">2025-11-21T15:24:55Z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64CAE1710D4B4DC888FC768A0C699D74</vt:lpwstr>
  </property>
</Properties>
</file>